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F3AC09" w14:textId="77777777" w:rsidR="00444275" w:rsidRDefault="00444275">
      <w:pPr>
        <w:spacing w:after="0" w:line="240" w:lineRule="auto"/>
        <w:rPr>
          <w:rFonts w:ascii="宋体" w:eastAsia="宋体" w:hint="eastAsia"/>
          <w:sz w:val="32"/>
          <w:szCs w:val="32"/>
        </w:rPr>
      </w:pPr>
    </w:p>
    <w:p w14:paraId="551BA61E" w14:textId="77777777" w:rsidR="00444275" w:rsidRDefault="00444275">
      <w:pPr>
        <w:spacing w:after="0" w:line="240" w:lineRule="auto"/>
        <w:rPr>
          <w:rFonts w:ascii="宋体" w:eastAsia="宋体" w:hint="eastAsia"/>
          <w:sz w:val="44"/>
          <w:szCs w:val="44"/>
        </w:rPr>
      </w:pPr>
    </w:p>
    <w:p w14:paraId="20C0A65D" w14:textId="77777777" w:rsidR="00444275" w:rsidRDefault="00444275">
      <w:pPr>
        <w:spacing w:after="0" w:line="240" w:lineRule="auto"/>
        <w:rPr>
          <w:rFonts w:ascii="宋体" w:eastAsia="宋体" w:hint="eastAsia"/>
          <w:sz w:val="44"/>
          <w:szCs w:val="44"/>
        </w:rPr>
      </w:pPr>
    </w:p>
    <w:p w14:paraId="19BB12FB" w14:textId="77777777" w:rsidR="00444275" w:rsidRDefault="00444275">
      <w:pPr>
        <w:spacing w:after="0" w:line="240" w:lineRule="auto"/>
        <w:rPr>
          <w:rFonts w:ascii="宋体" w:eastAsia="宋体" w:hint="eastAsia"/>
          <w:sz w:val="44"/>
          <w:szCs w:val="44"/>
        </w:rPr>
      </w:pPr>
    </w:p>
    <w:p w14:paraId="38D3EED1" w14:textId="77777777" w:rsidR="00444275" w:rsidRDefault="00000000">
      <w:pPr>
        <w:spacing w:after="0" w:line="240" w:lineRule="auto"/>
        <w:jc w:val="center"/>
        <w:outlineLvl w:val="0"/>
        <w:rPr>
          <w:rFonts w:ascii="宋体" w:eastAsia="黑体" w:hint="eastAsia"/>
          <w:sz w:val="44"/>
          <w:szCs w:val="44"/>
          <w:lang w:eastAsia="zh-CN"/>
        </w:rPr>
      </w:pPr>
      <w:r>
        <w:rPr>
          <w:rFonts w:ascii="宋体" w:eastAsia="黑体"/>
          <w:sz w:val="44"/>
          <w:szCs w:val="44"/>
          <w:lang w:eastAsia="zh-CN"/>
        </w:rPr>
        <w:t>木垒哈萨克自治县第一小学</w:t>
      </w:r>
    </w:p>
    <w:p w14:paraId="357D9447" w14:textId="77777777" w:rsidR="00444275" w:rsidRDefault="00000000">
      <w:pPr>
        <w:spacing w:after="0" w:line="240" w:lineRule="auto"/>
        <w:jc w:val="center"/>
        <w:outlineLvl w:val="0"/>
        <w:rPr>
          <w:rFonts w:ascii="黑体" w:eastAsia="黑体" w:hint="eastAsia"/>
          <w:sz w:val="44"/>
          <w:szCs w:val="44"/>
          <w:lang w:eastAsia="zh-CN"/>
        </w:rPr>
      </w:pPr>
      <w:r>
        <w:rPr>
          <w:rFonts w:ascii="黑体" w:eastAsia="黑体"/>
          <w:sz w:val="44"/>
          <w:szCs w:val="44"/>
          <w:lang w:eastAsia="zh-CN"/>
        </w:rPr>
        <w:t>2024年度部门决算公开说明</w:t>
      </w:r>
    </w:p>
    <w:p w14:paraId="2DAE4528" w14:textId="77777777" w:rsidR="00444275" w:rsidRDefault="00000000">
      <w:pPr>
        <w:rPr>
          <w:rFonts w:hint="eastAsia"/>
          <w:lang w:eastAsia="zh-CN"/>
        </w:rPr>
      </w:pPr>
      <w:r>
        <w:rPr>
          <w:sz w:val="0"/>
          <w:szCs w:val="0"/>
          <w:lang w:eastAsia="zh-CN"/>
        </w:rPr>
        <w:br w:type="page"/>
      </w:r>
    </w:p>
    <w:p w14:paraId="119FCF73" w14:textId="77777777" w:rsidR="00444275" w:rsidRDefault="00000000">
      <w:pPr>
        <w:spacing w:after="0" w:line="240" w:lineRule="auto"/>
        <w:jc w:val="center"/>
        <w:rPr>
          <w:rFonts w:ascii="黑体" w:eastAsia="黑体" w:hint="eastAsia"/>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3AE61FEE" w14:textId="77777777" w:rsidR="00444275"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第一部分单位概况</w:t>
      </w:r>
    </w:p>
    <w:p w14:paraId="2963CD4C" w14:textId="77777777" w:rsidR="0044427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一、主要职能</w:t>
      </w:r>
    </w:p>
    <w:p w14:paraId="74C79C4C" w14:textId="77777777" w:rsidR="0044427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二、机构设置及人员情况</w:t>
      </w:r>
    </w:p>
    <w:p w14:paraId="28C3F896" w14:textId="77777777" w:rsidR="00444275"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第二部分 部门决算情况说明</w:t>
      </w:r>
    </w:p>
    <w:p w14:paraId="01245868" w14:textId="77777777" w:rsidR="0044427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一、收入支出决算总体情况说明</w:t>
      </w:r>
    </w:p>
    <w:p w14:paraId="6A602CF3" w14:textId="77777777" w:rsidR="0044427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二、收入决算情况说明</w:t>
      </w:r>
    </w:p>
    <w:p w14:paraId="06A955B3" w14:textId="77777777" w:rsidR="0044427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三、支出决算情况说明</w:t>
      </w:r>
    </w:p>
    <w:p w14:paraId="294976CA" w14:textId="77777777" w:rsidR="0044427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四、财政拨款收入支出决算总体情况说明</w:t>
      </w:r>
    </w:p>
    <w:p w14:paraId="025EF728" w14:textId="77777777" w:rsidR="0044427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五、一般公共预算财政拨款支出决算情况说明</w:t>
      </w:r>
    </w:p>
    <w:p w14:paraId="103C6FDC" w14:textId="77777777" w:rsidR="0044427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（一）一般公共预算财政拨款支出决算总体情况</w:t>
      </w:r>
    </w:p>
    <w:p w14:paraId="799BF27C" w14:textId="77777777" w:rsidR="0044427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（二）一般公共预算财政拨款支出决算结构情况</w:t>
      </w:r>
    </w:p>
    <w:p w14:paraId="6EB26C4A" w14:textId="77777777" w:rsidR="0044427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（三）一般公共预算财政拨款支出决算具体情况</w:t>
      </w:r>
    </w:p>
    <w:p w14:paraId="4DF14CCA" w14:textId="77777777" w:rsidR="0044427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3D1BCF9A" w14:textId="77777777" w:rsidR="0044427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七、政府性基金预算财政拨款收入支出决算情况说明</w:t>
      </w:r>
    </w:p>
    <w:p w14:paraId="6EF82833" w14:textId="77777777" w:rsidR="0044427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八、国有资本经营预算财政拨款收入支出决算情况说明</w:t>
      </w:r>
    </w:p>
    <w:p w14:paraId="412B23E3" w14:textId="77777777" w:rsidR="0044427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2F0CA2F1" w14:textId="77777777" w:rsidR="0044427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12D3CB79" w14:textId="77777777" w:rsidR="0044427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（一）机关运行经费及公用经费支出情况</w:t>
      </w:r>
    </w:p>
    <w:p w14:paraId="6231A537" w14:textId="77777777" w:rsidR="0044427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（二）政府采购情况</w:t>
      </w:r>
    </w:p>
    <w:p w14:paraId="259C1B07" w14:textId="77777777" w:rsidR="0044427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（三）国有资产占用情况说明</w:t>
      </w:r>
    </w:p>
    <w:p w14:paraId="70C5B288" w14:textId="77777777" w:rsidR="0044427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十一、预算绩效的情况说明</w:t>
      </w:r>
    </w:p>
    <w:p w14:paraId="6B5F072F" w14:textId="77777777" w:rsidR="0044427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十二、其他需说明的事项</w:t>
      </w:r>
    </w:p>
    <w:p w14:paraId="37A398FA" w14:textId="77777777" w:rsidR="00444275"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第三部分 专业名词解释</w:t>
      </w:r>
    </w:p>
    <w:p w14:paraId="1A306EE3" w14:textId="77777777" w:rsidR="00444275"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第四部分 部门决算报表（见附表）</w:t>
      </w:r>
    </w:p>
    <w:p w14:paraId="4F1AB98E" w14:textId="77777777" w:rsidR="0044427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4F4D542D" w14:textId="77777777" w:rsidR="0044427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二、《收入决算表》</w:t>
      </w:r>
    </w:p>
    <w:p w14:paraId="64A32926" w14:textId="77777777" w:rsidR="0044427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三、《支出决算表》</w:t>
      </w:r>
    </w:p>
    <w:p w14:paraId="626E78BC" w14:textId="77777777" w:rsidR="0044427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431AADA5" w14:textId="77777777" w:rsidR="0044427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71847B9D" w14:textId="77777777" w:rsidR="0044427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02872CBA" w14:textId="77777777" w:rsidR="0044427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lastRenderedPageBreak/>
        <w:t>七、《政府性基金预算财政拨款收入支出决算表》</w:t>
      </w:r>
    </w:p>
    <w:p w14:paraId="16CB8442" w14:textId="77777777" w:rsidR="0044427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189DA3A9" w14:textId="77777777" w:rsidR="0044427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729C400A" w14:textId="77777777" w:rsidR="00444275" w:rsidRDefault="00000000">
      <w:pPr>
        <w:rPr>
          <w:rFonts w:hint="eastAsia"/>
          <w:lang w:eastAsia="zh-CN"/>
        </w:rPr>
      </w:pPr>
      <w:r>
        <w:rPr>
          <w:sz w:val="0"/>
          <w:szCs w:val="0"/>
          <w:lang w:eastAsia="zh-CN"/>
        </w:rPr>
        <w:br w:type="page"/>
      </w:r>
    </w:p>
    <w:p w14:paraId="6F51C1EE" w14:textId="77777777" w:rsidR="00444275"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第一部分</w:t>
      </w:r>
      <w:r>
        <w:rPr>
          <w:rFonts w:ascii="黑体" w:eastAsia="黑体"/>
          <w:sz w:val="32"/>
          <w:szCs w:val="32"/>
          <w:lang w:eastAsia="zh-CN"/>
        </w:rPr>
        <w:t> </w:t>
      </w:r>
      <w:r>
        <w:rPr>
          <w:rFonts w:ascii="黑体" w:eastAsia="黑体"/>
          <w:sz w:val="32"/>
          <w:szCs w:val="32"/>
          <w:lang w:eastAsia="zh-CN"/>
        </w:rPr>
        <w:t>单位概况</w:t>
      </w:r>
    </w:p>
    <w:p w14:paraId="2E89C2DF" w14:textId="77777777" w:rsidR="00444275"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 </w:t>
      </w:r>
      <w:r>
        <w:rPr>
          <w:rFonts w:ascii="黑体" w:eastAsia="黑体"/>
          <w:sz w:val="32"/>
          <w:szCs w:val="32"/>
          <w:lang w:eastAsia="zh-CN"/>
        </w:rPr>
        <w:t>一、主要职能</w:t>
      </w:r>
    </w:p>
    <w:p w14:paraId="76059EC7" w14:textId="77777777" w:rsidR="0044427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木垒哈萨克自治县第一小学是一所全额拨款的事业单位，实施小学学历教育，按照基础教育的有关规定和教学大纲，积极开展各项教学活动；强化德育工作，培养教育学生的技能、技巧和综合能力，加强学校的内部管理工作；加强办学理念，内强素质，外树形</w:t>
      </w:r>
      <w:proofErr w:type="gramStart"/>
      <w:r>
        <w:rPr>
          <w:rFonts w:ascii="仿宋_GB2312" w:eastAsia="仿宋_GB2312" w:hint="eastAsia"/>
          <w:sz w:val="32"/>
          <w:szCs w:val="32"/>
          <w:lang w:eastAsia="zh-CN"/>
        </w:rPr>
        <w:t>象</w:t>
      </w:r>
      <w:proofErr w:type="gramEnd"/>
      <w:r>
        <w:rPr>
          <w:rFonts w:ascii="仿宋_GB2312" w:eastAsia="仿宋_GB2312" w:hint="eastAsia"/>
          <w:sz w:val="32"/>
          <w:szCs w:val="32"/>
          <w:lang w:eastAsia="zh-CN"/>
        </w:rPr>
        <w:t>，加强教师整体素质，学生综合素养，学校文化建设；全面提升教育教学质量，全力推进学校工作全面、均衡、协调、持续地发展</w:t>
      </w:r>
      <w:r>
        <w:rPr>
          <w:rFonts w:ascii="仿宋_GB2312" w:eastAsia="仿宋_GB2312"/>
          <w:sz w:val="32"/>
          <w:szCs w:val="32"/>
          <w:lang w:eastAsia="zh-CN"/>
        </w:rPr>
        <w:t>。</w:t>
      </w:r>
    </w:p>
    <w:p w14:paraId="50A93A38" w14:textId="77777777" w:rsidR="00444275"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二、机构设置及人员情况</w:t>
      </w:r>
    </w:p>
    <w:p w14:paraId="072B4EFD" w14:textId="77777777" w:rsidR="0044427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木垒哈萨克自治县第一小学2024年度，实有人数278人，其中：在职人员95人，减少6人；离休人员0人，较上年无变化；退休人员183人，增加6人。</w:t>
      </w:r>
    </w:p>
    <w:p w14:paraId="2381EED1" w14:textId="77777777" w:rsidR="0044427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木垒哈萨克自治县第一小学无下属预算单位，下设4个科室，分别是：教务处、总务处、财务室、德育处。</w:t>
      </w:r>
    </w:p>
    <w:p w14:paraId="4AB39686" w14:textId="77777777" w:rsidR="00444275" w:rsidRDefault="00000000">
      <w:pPr>
        <w:rPr>
          <w:rFonts w:hint="eastAsia"/>
          <w:lang w:eastAsia="zh-CN"/>
        </w:rPr>
      </w:pPr>
      <w:r>
        <w:rPr>
          <w:sz w:val="0"/>
          <w:szCs w:val="0"/>
          <w:lang w:eastAsia="zh-CN"/>
        </w:rPr>
        <w:br w:type="page"/>
      </w:r>
    </w:p>
    <w:p w14:paraId="66A28146" w14:textId="77777777" w:rsidR="00444275"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第二部分 部门决算情况说明</w:t>
      </w:r>
    </w:p>
    <w:p w14:paraId="0346382B" w14:textId="77777777" w:rsidR="00444275"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一、收入支出决算总体情况说明</w:t>
      </w:r>
    </w:p>
    <w:p w14:paraId="37E58604" w14:textId="77777777" w:rsidR="0044427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2024年度收入总计2,556.44万元，其中：本年收入合计2,555.33万元，使用非财政拨款结余（含专用结余）0.00万元，年初结转和结余1.11万元。</w:t>
      </w:r>
    </w:p>
    <w:p w14:paraId="7B530A5D" w14:textId="77777777" w:rsidR="0044427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2024年度支出总计2,556.44万元，其中：本年支出合计2,555.58万元，结余分配0.00万元，年末结转和结余0.86万元。</w:t>
      </w:r>
    </w:p>
    <w:p w14:paraId="3BC18A7F" w14:textId="77777777" w:rsidR="0044427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收入支出总体与上年相比，增加19.69万元，增长0.78%，主要原因是：</w:t>
      </w:r>
      <w:r>
        <w:rPr>
          <w:rFonts w:ascii="仿宋_GB2312" w:eastAsia="仿宋_GB2312" w:hint="eastAsia"/>
          <w:sz w:val="32"/>
          <w:szCs w:val="32"/>
          <w:lang w:eastAsia="zh-CN"/>
        </w:rPr>
        <w:t>本年学生课后托管服务费及校园维修建设资金较上年增加</w:t>
      </w:r>
      <w:r>
        <w:rPr>
          <w:rFonts w:ascii="仿宋_GB2312" w:eastAsia="仿宋_GB2312"/>
          <w:sz w:val="32"/>
          <w:szCs w:val="32"/>
          <w:lang w:eastAsia="zh-CN"/>
        </w:rPr>
        <w:t>。</w:t>
      </w:r>
    </w:p>
    <w:p w14:paraId="0AEAF598" w14:textId="77777777" w:rsidR="00444275"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二、收入决算情况说明</w:t>
      </w:r>
    </w:p>
    <w:p w14:paraId="72DC7852" w14:textId="77777777" w:rsidR="0044427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本年收入2,555.33万元，其中：财政拨款收入2,425.17万元,占94.91%；上级补助收入0.00万元,占0.00%；事业收入0.00万元，占0.00%；经营收入0.00万元,占0.00%；附属单位上缴收入0.00万元，占0.00%；其他收入130.17万元，占5.09%。</w:t>
      </w:r>
    </w:p>
    <w:p w14:paraId="0F00D329" w14:textId="77777777" w:rsidR="00444275"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三、支出决算情况说明</w:t>
      </w:r>
    </w:p>
    <w:p w14:paraId="2DB178A1" w14:textId="77777777" w:rsidR="0044427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本年支出2,555.58万元，其中：基本支出2,381.84万元，占93.20%；项目支出173.74万元，占6.80%；上缴上级支出0.00万元，占0.00%；经营支出0.00万元，占0.00%；对附属单位补助支出0.00万元，占0.00%。</w:t>
      </w:r>
    </w:p>
    <w:p w14:paraId="0C6D7CD4" w14:textId="77777777" w:rsidR="00444275"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四、财政拨款收入支出决算总体情况说明</w:t>
      </w:r>
    </w:p>
    <w:p w14:paraId="5F5A774D" w14:textId="77777777" w:rsidR="0044427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收入总计2,425.17万元，其中：年初财政拨款结转和结余0.00万元，本年财政拨款收入2,425.17万元。财政拨款支出总计2,425.17万元，其中：年末财政拨款结转和结余0.00万元，本年财政拨款支出2,425.17万元。</w:t>
      </w:r>
    </w:p>
    <w:p w14:paraId="2C9FBE35" w14:textId="77777777" w:rsidR="0044427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财政拨款收入支出总体与上年相比，减少110.21万元，下降4.35%，主要原因是：</w:t>
      </w:r>
      <w:r>
        <w:rPr>
          <w:rFonts w:ascii="仿宋_GB2312" w:eastAsia="仿宋_GB2312" w:hint="eastAsia"/>
          <w:sz w:val="32"/>
          <w:szCs w:val="32"/>
          <w:lang w:eastAsia="zh-CN"/>
        </w:rPr>
        <w:t>本年学前三年免费教育保障机制经费及死亡抚恤金较上年减少</w:t>
      </w:r>
      <w:r>
        <w:rPr>
          <w:rFonts w:ascii="仿宋_GB2312" w:eastAsia="仿宋_GB2312"/>
          <w:sz w:val="32"/>
          <w:szCs w:val="32"/>
          <w:lang w:eastAsia="zh-CN"/>
        </w:rPr>
        <w:t>。与年初预算相比，年初预算数2,508.94万元，决算数2,425.17万元，预决算差异率-3.34%，</w:t>
      </w:r>
      <w:r>
        <w:rPr>
          <w:rFonts w:ascii="仿宋_GB2312" w:eastAsia="仿宋_GB2312"/>
          <w:sz w:val="32"/>
          <w:szCs w:val="32"/>
          <w:lang w:eastAsia="zh-CN"/>
        </w:rPr>
        <w:lastRenderedPageBreak/>
        <w:t>主要原因是：</w:t>
      </w:r>
      <w:r>
        <w:rPr>
          <w:rFonts w:ascii="仿宋_GB2312" w:eastAsia="仿宋_GB2312" w:hint="eastAsia"/>
          <w:sz w:val="32"/>
          <w:szCs w:val="32"/>
          <w:lang w:eastAsia="zh-CN"/>
        </w:rPr>
        <w:t>本年学前三年免费教育保障机制经费</w:t>
      </w:r>
      <w:bookmarkStart w:id="0" w:name="_Hlk207796779"/>
      <w:r>
        <w:rPr>
          <w:rFonts w:ascii="仿宋_GB2312" w:eastAsia="仿宋_GB2312" w:hint="eastAsia"/>
          <w:sz w:val="32"/>
          <w:szCs w:val="32"/>
          <w:lang w:eastAsia="zh-CN"/>
        </w:rPr>
        <w:t>实际业务金额小于年初预算安排金额</w:t>
      </w:r>
      <w:bookmarkEnd w:id="0"/>
      <w:r>
        <w:rPr>
          <w:rFonts w:ascii="仿宋_GB2312" w:eastAsia="仿宋_GB2312"/>
          <w:sz w:val="32"/>
          <w:szCs w:val="32"/>
          <w:lang w:eastAsia="zh-CN"/>
        </w:rPr>
        <w:t>。</w:t>
      </w:r>
    </w:p>
    <w:p w14:paraId="0750CD0D" w14:textId="77777777" w:rsidR="00444275"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五、一般公共预算财政拨款支出决算情况说明</w:t>
      </w:r>
    </w:p>
    <w:p w14:paraId="41D71E60" w14:textId="77777777" w:rsidR="00444275"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（一）一般公共预算财政拨款支出决算总体情况</w:t>
      </w:r>
    </w:p>
    <w:p w14:paraId="74B51A9E" w14:textId="77777777" w:rsidR="0044427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2024年度一般公共预算财政拨款支出2,425.17万元，占本年支出合计的94.90%。与上年相比，减少110.21万元，下降4.35%，主要原因是：</w:t>
      </w:r>
      <w:r>
        <w:rPr>
          <w:rFonts w:ascii="仿宋_GB2312" w:eastAsia="仿宋_GB2312" w:hint="eastAsia"/>
          <w:sz w:val="32"/>
          <w:szCs w:val="32"/>
          <w:lang w:eastAsia="zh-CN"/>
        </w:rPr>
        <w:t>本年学前三年免费教育保障机制经费及死亡抚恤金较上年减少</w:t>
      </w:r>
      <w:r>
        <w:rPr>
          <w:rFonts w:ascii="仿宋_GB2312" w:eastAsia="仿宋_GB2312"/>
          <w:sz w:val="32"/>
          <w:szCs w:val="32"/>
          <w:lang w:eastAsia="zh-CN"/>
        </w:rPr>
        <w:t>。与年初预算相比，年初预算数2,508.94万元，决算数2,425.17万元，预决算差异率-3.34%，主要原因是：</w:t>
      </w:r>
      <w:r>
        <w:rPr>
          <w:rFonts w:ascii="仿宋_GB2312" w:eastAsia="仿宋_GB2312" w:hint="eastAsia"/>
          <w:sz w:val="32"/>
          <w:szCs w:val="32"/>
          <w:lang w:eastAsia="zh-CN"/>
        </w:rPr>
        <w:t>本年学前三年免费教育保障机制经费实际业务金额小于年初预算安排金额</w:t>
      </w:r>
      <w:r>
        <w:rPr>
          <w:rFonts w:ascii="仿宋_GB2312" w:eastAsia="仿宋_GB2312"/>
          <w:sz w:val="32"/>
          <w:szCs w:val="32"/>
          <w:lang w:eastAsia="zh-CN"/>
        </w:rPr>
        <w:t>。</w:t>
      </w:r>
    </w:p>
    <w:p w14:paraId="62CB261E" w14:textId="77777777" w:rsidR="00444275"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（二）一般公共预算财政拨款支出决算结构情况</w:t>
      </w:r>
    </w:p>
    <w:p w14:paraId="26823D84" w14:textId="77777777" w:rsidR="0044427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教育支出（类）2,335.11万元，占96.29%。</w:t>
      </w:r>
    </w:p>
    <w:p w14:paraId="6D7ECB04" w14:textId="77777777" w:rsidR="0044427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社会保障和就业支出（类）90.06万元，占3.71%。</w:t>
      </w:r>
    </w:p>
    <w:p w14:paraId="343F3F08" w14:textId="77777777" w:rsidR="00444275"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（三）一般公共预算财政拨款支出决算具体情况</w:t>
      </w:r>
    </w:p>
    <w:p w14:paraId="7961E301" w14:textId="77777777" w:rsidR="00444275"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1、教育支出（类）普通教育（款）学前教育（项）：支出决算数为232.38万元，比上年决算减少37.78万元，下降13.98%，主要原因是：</w:t>
      </w:r>
      <w:r>
        <w:rPr>
          <w:rFonts w:ascii="仿宋_GB2312" w:eastAsia="仿宋_GB2312" w:hint="eastAsia"/>
          <w:sz w:val="32"/>
          <w:szCs w:val="32"/>
          <w:lang w:eastAsia="zh-CN"/>
        </w:rPr>
        <w:t>本年学前三年免费教育保障机制经费较上年减少</w:t>
      </w:r>
      <w:r>
        <w:rPr>
          <w:rFonts w:ascii="仿宋_GB2312" w:eastAsia="仿宋_GB2312"/>
          <w:sz w:val="32"/>
          <w:szCs w:val="32"/>
          <w:lang w:eastAsia="zh-CN"/>
        </w:rPr>
        <w:t>。</w:t>
      </w:r>
    </w:p>
    <w:p w14:paraId="3B4E9A0B" w14:textId="77777777" w:rsidR="00444275"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2、教育支出（类）普通教育（款）小学教育（项）：支出决算数为2,102.73万元，比上年决算增加39.49万元，增长1.91%，主要原因是：</w:t>
      </w:r>
      <w:r>
        <w:rPr>
          <w:rFonts w:ascii="仿宋_GB2312" w:eastAsia="仿宋_GB2312" w:hint="eastAsia"/>
          <w:sz w:val="32"/>
          <w:szCs w:val="32"/>
          <w:lang w:eastAsia="zh-CN"/>
        </w:rPr>
        <w:t>单位科目调整，本年将退休人员退休费从</w:t>
      </w:r>
      <w:r>
        <w:rPr>
          <w:rFonts w:ascii="仿宋_GB2312" w:eastAsia="仿宋_GB2312"/>
          <w:sz w:val="32"/>
          <w:szCs w:val="32"/>
          <w:lang w:eastAsia="zh-CN"/>
        </w:rPr>
        <w:t>事业单位离退休</w:t>
      </w:r>
      <w:r>
        <w:rPr>
          <w:rFonts w:ascii="仿宋_GB2312" w:eastAsia="仿宋_GB2312" w:hint="eastAsia"/>
          <w:sz w:val="32"/>
          <w:szCs w:val="32"/>
          <w:lang w:eastAsia="zh-CN"/>
        </w:rPr>
        <w:t>科目调整至本科目反映</w:t>
      </w:r>
      <w:r>
        <w:rPr>
          <w:rFonts w:ascii="仿宋_GB2312" w:eastAsia="仿宋_GB2312"/>
          <w:sz w:val="32"/>
          <w:szCs w:val="32"/>
          <w:lang w:eastAsia="zh-CN"/>
        </w:rPr>
        <w:t>。</w:t>
      </w:r>
    </w:p>
    <w:p w14:paraId="51787B6D" w14:textId="77777777" w:rsidR="00444275"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3、社会保障和就业支出（类）行政事业单位养老支出（款）事业单位离退休（项）：支出决算数为0.00万元，比上年决算减少58.93万元，下降100.00%，主要原因是：</w:t>
      </w:r>
      <w:r>
        <w:rPr>
          <w:rFonts w:ascii="仿宋_GB2312" w:eastAsia="仿宋_GB2312" w:hint="eastAsia"/>
          <w:sz w:val="32"/>
          <w:szCs w:val="32"/>
          <w:lang w:eastAsia="zh-CN"/>
        </w:rPr>
        <w:t>单位科目调整，本年将退休人员退休费从本科目调整至</w:t>
      </w:r>
      <w:r>
        <w:rPr>
          <w:rFonts w:ascii="仿宋_GB2312" w:eastAsia="仿宋_GB2312"/>
          <w:sz w:val="32"/>
          <w:szCs w:val="32"/>
          <w:lang w:eastAsia="zh-CN"/>
        </w:rPr>
        <w:t>小学教育</w:t>
      </w:r>
      <w:r>
        <w:rPr>
          <w:rFonts w:ascii="仿宋_GB2312" w:eastAsia="仿宋_GB2312" w:hint="eastAsia"/>
          <w:sz w:val="32"/>
          <w:szCs w:val="32"/>
          <w:lang w:eastAsia="zh-CN"/>
        </w:rPr>
        <w:t>科目反映</w:t>
      </w:r>
      <w:r>
        <w:rPr>
          <w:rFonts w:ascii="仿宋_GB2312" w:eastAsia="仿宋_GB2312"/>
          <w:sz w:val="32"/>
          <w:szCs w:val="32"/>
          <w:lang w:eastAsia="zh-CN"/>
        </w:rPr>
        <w:t>。</w:t>
      </w:r>
    </w:p>
    <w:p w14:paraId="1623DFDD" w14:textId="77777777" w:rsidR="00444275"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4、社会保障和就业支出（类）行政事业单位养老支出（款）机关事业单位职业年金缴费支出（项）：支出决算数为57.15万元，比上年决算减少2.43万元，下降4.08%，主要原</w:t>
      </w:r>
      <w:r>
        <w:rPr>
          <w:rFonts w:ascii="仿宋_GB2312" w:eastAsia="仿宋_GB2312"/>
          <w:sz w:val="32"/>
          <w:szCs w:val="32"/>
          <w:lang w:eastAsia="zh-CN"/>
        </w:rPr>
        <w:lastRenderedPageBreak/>
        <w:t>因是：</w:t>
      </w:r>
      <w:r>
        <w:rPr>
          <w:rFonts w:ascii="仿宋_GB2312" w:eastAsia="仿宋_GB2312" w:hint="eastAsia"/>
          <w:sz w:val="32"/>
          <w:szCs w:val="32"/>
          <w:lang w:eastAsia="zh-CN"/>
        </w:rPr>
        <w:t>单位上半年职业年金缴费在本科目反映，下半年将职业年金缴费调整至</w:t>
      </w:r>
      <w:r>
        <w:rPr>
          <w:rFonts w:ascii="仿宋_GB2312" w:eastAsia="仿宋_GB2312"/>
          <w:sz w:val="32"/>
          <w:szCs w:val="32"/>
          <w:lang w:eastAsia="zh-CN"/>
        </w:rPr>
        <w:t>小学教育</w:t>
      </w:r>
      <w:r>
        <w:rPr>
          <w:rFonts w:ascii="仿宋_GB2312" w:eastAsia="仿宋_GB2312" w:hint="eastAsia"/>
          <w:sz w:val="32"/>
          <w:szCs w:val="32"/>
          <w:lang w:eastAsia="zh-CN"/>
        </w:rPr>
        <w:t>科目反映，所以本科目职业年金缴费较上年减少</w:t>
      </w:r>
      <w:r>
        <w:rPr>
          <w:rFonts w:ascii="仿宋_GB2312" w:eastAsia="仿宋_GB2312"/>
          <w:sz w:val="32"/>
          <w:szCs w:val="32"/>
          <w:lang w:eastAsia="zh-CN"/>
        </w:rPr>
        <w:t>。</w:t>
      </w:r>
    </w:p>
    <w:p w14:paraId="794FDDE6" w14:textId="77777777" w:rsidR="00444275"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5、社会保障和就业支出（类）抚恤（款）死亡抚恤（项）：支出决算数为32.91万元，比上年决算减少50.57万元，下降60.58%，主要原因是：</w:t>
      </w:r>
      <w:bookmarkStart w:id="1" w:name="_Hlk209709767"/>
      <w:r>
        <w:rPr>
          <w:rFonts w:ascii="仿宋_GB2312" w:eastAsia="仿宋_GB2312" w:hint="eastAsia"/>
          <w:sz w:val="32"/>
          <w:szCs w:val="32"/>
          <w:lang w:eastAsia="zh-CN"/>
        </w:rPr>
        <w:t>单位本年退休去世人员较上年减少</w:t>
      </w:r>
      <w:r>
        <w:rPr>
          <w:rFonts w:ascii="仿宋_GB2312" w:eastAsia="仿宋_GB2312"/>
          <w:sz w:val="32"/>
          <w:szCs w:val="32"/>
          <w:lang w:eastAsia="zh-CN"/>
        </w:rPr>
        <w:t>，</w:t>
      </w:r>
      <w:proofErr w:type="gramStart"/>
      <w:r>
        <w:rPr>
          <w:rFonts w:ascii="仿宋_GB2312" w:eastAsia="仿宋_GB2312"/>
          <w:sz w:val="32"/>
          <w:szCs w:val="32"/>
          <w:lang w:eastAsia="zh-CN"/>
        </w:rPr>
        <w:t>故死亡</w:t>
      </w:r>
      <w:proofErr w:type="gramEnd"/>
      <w:r>
        <w:rPr>
          <w:rFonts w:ascii="仿宋_GB2312" w:eastAsia="仿宋_GB2312"/>
          <w:sz w:val="32"/>
          <w:szCs w:val="32"/>
          <w:lang w:eastAsia="zh-CN"/>
        </w:rPr>
        <w:t>抚恤</w:t>
      </w:r>
      <w:r>
        <w:rPr>
          <w:rFonts w:ascii="仿宋_GB2312" w:eastAsia="仿宋_GB2312" w:hint="eastAsia"/>
          <w:sz w:val="32"/>
          <w:szCs w:val="32"/>
          <w:lang w:eastAsia="zh-CN"/>
        </w:rPr>
        <w:t>金减少</w:t>
      </w:r>
      <w:bookmarkEnd w:id="1"/>
      <w:r>
        <w:rPr>
          <w:rFonts w:ascii="仿宋_GB2312" w:eastAsia="仿宋_GB2312"/>
          <w:sz w:val="32"/>
          <w:szCs w:val="32"/>
          <w:lang w:eastAsia="zh-CN"/>
        </w:rPr>
        <w:t>。</w:t>
      </w:r>
    </w:p>
    <w:p w14:paraId="0800BEBD" w14:textId="77777777" w:rsidR="00444275"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六、一般公共预算财政拨款基本支出决算情况说明</w:t>
      </w:r>
    </w:p>
    <w:p w14:paraId="1FA207A4" w14:textId="77777777" w:rsidR="0044427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基本支出2,256.43万元，其中：人员经费2,216.84万元，包括：基本工资、津贴补贴、奖金、机关事业单位基本养老保险缴费、职业年金缴费、职工基本医疗保险缴费、其他社会保障缴费、住房公积金、退休费、抚恤金、生活补助、助学金和奖励金。</w:t>
      </w:r>
    </w:p>
    <w:p w14:paraId="260BF426" w14:textId="77777777" w:rsidR="0044427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公用经费39.60万元，包括：邮电费、取暖费、工会经费和公务用车运行维护费。</w:t>
      </w:r>
    </w:p>
    <w:p w14:paraId="33A219EA" w14:textId="77777777" w:rsidR="00444275"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七、政府性基金预算财政拨款收入支出决算情况说明</w:t>
      </w:r>
    </w:p>
    <w:p w14:paraId="6CC9041E" w14:textId="77777777" w:rsidR="0044427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76AFD221" w14:textId="77777777" w:rsidR="00444275"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八、国有资本经营预算财政拨款收入支出决算情况说明</w:t>
      </w:r>
    </w:p>
    <w:p w14:paraId="521D3718" w14:textId="77777777" w:rsidR="0044427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45D77E57" w14:textId="77777777" w:rsidR="00444275"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7716BBA6" w14:textId="77777777" w:rsidR="0044427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经费支出0.60万元，比上年增加0.30万元，增长100.00%，主要原因是：</w:t>
      </w:r>
      <w:r>
        <w:rPr>
          <w:rFonts w:ascii="仿宋_GB2312" w:eastAsia="仿宋_GB2312" w:hint="eastAsia"/>
          <w:sz w:val="32"/>
          <w:szCs w:val="32"/>
          <w:lang w:eastAsia="zh-CN"/>
        </w:rPr>
        <w:t>增加车辆出行，车辆</w:t>
      </w:r>
      <w:r>
        <w:rPr>
          <w:rFonts w:ascii="仿宋_GB2312" w:eastAsia="仿宋_GB2312"/>
          <w:sz w:val="32"/>
          <w:szCs w:val="32"/>
          <w:lang w:eastAsia="zh-CN"/>
        </w:rPr>
        <w:t>维修维护费</w:t>
      </w:r>
      <w:r>
        <w:rPr>
          <w:rFonts w:ascii="仿宋_GB2312" w:eastAsia="仿宋_GB2312" w:hint="eastAsia"/>
          <w:sz w:val="32"/>
          <w:szCs w:val="32"/>
          <w:lang w:eastAsia="zh-CN"/>
        </w:rPr>
        <w:t>及燃油费等较上年增加</w:t>
      </w:r>
      <w:r>
        <w:rPr>
          <w:rFonts w:ascii="仿宋_GB2312" w:eastAsia="仿宋_GB2312"/>
          <w:sz w:val="32"/>
          <w:szCs w:val="32"/>
          <w:lang w:eastAsia="zh-CN"/>
        </w:rPr>
        <w:t>。其中：因公出国（境）费支出0.00万元,占0.00%，与上年相比无变化，主要原因是：</w:t>
      </w:r>
      <w:bookmarkStart w:id="2" w:name="_Hlk207143847"/>
      <w:r>
        <w:rPr>
          <w:rFonts w:ascii="仿宋_GB2312" w:eastAsia="仿宋_GB2312" w:hint="eastAsia"/>
          <w:sz w:val="32"/>
          <w:szCs w:val="32"/>
          <w:lang w:eastAsia="zh-CN"/>
        </w:rPr>
        <w:t>我</w:t>
      </w:r>
      <w:bookmarkStart w:id="3" w:name="_Hlk209026967"/>
      <w:r>
        <w:rPr>
          <w:rFonts w:ascii="仿宋_GB2312" w:eastAsia="仿宋_GB2312" w:hint="eastAsia"/>
          <w:sz w:val="32"/>
          <w:szCs w:val="32"/>
          <w:lang w:eastAsia="zh-CN"/>
        </w:rPr>
        <w:t>单位上年度与本年度均无此项经费</w:t>
      </w:r>
      <w:bookmarkEnd w:id="2"/>
      <w:bookmarkEnd w:id="3"/>
      <w:r>
        <w:rPr>
          <w:rFonts w:ascii="仿宋_GB2312" w:eastAsia="仿宋_GB2312"/>
          <w:sz w:val="32"/>
          <w:szCs w:val="32"/>
          <w:lang w:eastAsia="zh-CN"/>
        </w:rPr>
        <w:t>；公务用车购置及运行维护费支出0.60万元，占100.00%，比上年增加0.30万元，增长100.00%，主要原因是：</w:t>
      </w:r>
      <w:r>
        <w:rPr>
          <w:rFonts w:ascii="仿宋_GB2312" w:eastAsia="仿宋_GB2312" w:hint="eastAsia"/>
          <w:sz w:val="32"/>
          <w:szCs w:val="32"/>
          <w:lang w:eastAsia="zh-CN"/>
        </w:rPr>
        <w:t>增加车辆出行，车辆</w:t>
      </w:r>
      <w:r>
        <w:rPr>
          <w:rFonts w:ascii="仿宋_GB2312" w:eastAsia="仿宋_GB2312"/>
          <w:sz w:val="32"/>
          <w:szCs w:val="32"/>
          <w:lang w:eastAsia="zh-CN"/>
        </w:rPr>
        <w:t>维修维护费</w:t>
      </w:r>
      <w:r>
        <w:rPr>
          <w:rFonts w:ascii="仿宋_GB2312" w:eastAsia="仿宋_GB2312" w:hint="eastAsia"/>
          <w:sz w:val="32"/>
          <w:szCs w:val="32"/>
          <w:lang w:eastAsia="zh-CN"/>
        </w:rPr>
        <w:t>及燃油费等较上年增加</w:t>
      </w:r>
      <w:r>
        <w:rPr>
          <w:rFonts w:ascii="仿宋_GB2312" w:eastAsia="仿宋_GB2312"/>
          <w:sz w:val="32"/>
          <w:szCs w:val="32"/>
          <w:lang w:eastAsia="zh-CN"/>
        </w:rPr>
        <w:t>；公务接待费支出0.00万元，占0.00%，</w:t>
      </w:r>
      <w:r>
        <w:rPr>
          <w:rFonts w:ascii="仿宋_GB2312" w:eastAsia="仿宋_GB2312"/>
          <w:sz w:val="32"/>
          <w:szCs w:val="32"/>
          <w:lang w:eastAsia="zh-CN"/>
        </w:rPr>
        <w:lastRenderedPageBreak/>
        <w:t>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w:t>
      </w:r>
    </w:p>
    <w:p w14:paraId="3E29CCA9" w14:textId="77777777" w:rsidR="00444275"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具体情况如下：</w:t>
      </w:r>
    </w:p>
    <w:p w14:paraId="649D44E3" w14:textId="77777777" w:rsidR="0044427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因公出国（境）费支出0.00万元，开支内容包括本单位无因公出国（境）费支出。单位全年安排的因公出国（境）团组0个，因公出国（境）0人次。</w:t>
      </w:r>
    </w:p>
    <w:p w14:paraId="00689BF9" w14:textId="77777777" w:rsidR="0044427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公务用车购置及运行维护费0.60万元，其中：公务用车购置费0.00万元，公务用车运行维护费0.60万元。公务用车运行维护费开支内容包括</w:t>
      </w:r>
      <w:bookmarkStart w:id="4" w:name="_Hlk207793066"/>
      <w:r>
        <w:rPr>
          <w:rFonts w:ascii="仿宋_GB2312" w:eastAsia="仿宋_GB2312" w:hint="eastAsia"/>
          <w:sz w:val="32"/>
          <w:szCs w:val="32"/>
          <w:lang w:eastAsia="zh-CN"/>
        </w:rPr>
        <w:t>公务用车维修维护费、燃油费、保险费、过路费等</w:t>
      </w:r>
      <w:bookmarkEnd w:id="4"/>
      <w:r>
        <w:rPr>
          <w:rFonts w:ascii="仿宋_GB2312" w:eastAsia="仿宋_GB2312"/>
          <w:sz w:val="32"/>
          <w:szCs w:val="32"/>
          <w:lang w:eastAsia="zh-CN"/>
        </w:rPr>
        <w:t>。公务用车购置数0辆，公务用车保有量1辆。国有资产占用情况中固定资产车辆1辆，与公务用车保有量差异原因是：</w:t>
      </w:r>
      <w:bookmarkStart w:id="5" w:name="_Hlk207143898"/>
      <w:r>
        <w:rPr>
          <w:rFonts w:ascii="仿宋_GB2312" w:eastAsia="仿宋_GB2312" w:hint="eastAsia"/>
          <w:sz w:val="32"/>
          <w:szCs w:val="32"/>
          <w:lang w:eastAsia="zh-CN"/>
        </w:rPr>
        <w:t>本单位固定资产车辆与公务用车保有量一致无差异</w:t>
      </w:r>
      <w:bookmarkEnd w:id="5"/>
      <w:r>
        <w:rPr>
          <w:rFonts w:ascii="仿宋_GB2312" w:eastAsia="仿宋_GB2312"/>
          <w:sz w:val="32"/>
          <w:szCs w:val="32"/>
          <w:lang w:eastAsia="zh-CN"/>
        </w:rPr>
        <w:t>。</w:t>
      </w:r>
    </w:p>
    <w:p w14:paraId="48345B53" w14:textId="77777777" w:rsidR="0044427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公务接待费0.00万元，开支内容包括</w:t>
      </w:r>
      <w:bookmarkStart w:id="6" w:name="_Hlk207140433"/>
      <w:r>
        <w:rPr>
          <w:rFonts w:ascii="仿宋_GB2312" w:eastAsia="仿宋_GB2312" w:hint="eastAsia"/>
          <w:sz w:val="32"/>
          <w:szCs w:val="32"/>
          <w:lang w:eastAsia="zh-CN"/>
        </w:rPr>
        <w:t>单</w:t>
      </w:r>
      <w:bookmarkStart w:id="7" w:name="_Hlk209003368"/>
      <w:r>
        <w:rPr>
          <w:rFonts w:ascii="仿宋_GB2312" w:eastAsia="仿宋_GB2312" w:hint="eastAsia"/>
          <w:sz w:val="32"/>
          <w:szCs w:val="32"/>
          <w:lang w:eastAsia="zh-CN"/>
        </w:rPr>
        <w:t>位本年无</w:t>
      </w:r>
      <w:r>
        <w:rPr>
          <w:rFonts w:ascii="仿宋_GB2312" w:eastAsia="仿宋_GB2312"/>
          <w:sz w:val="32"/>
          <w:szCs w:val="32"/>
          <w:lang w:eastAsia="zh-CN"/>
        </w:rPr>
        <w:t>公务接待费</w:t>
      </w:r>
      <w:bookmarkEnd w:id="6"/>
      <w:bookmarkEnd w:id="7"/>
      <w:r>
        <w:rPr>
          <w:rFonts w:ascii="仿宋_GB2312" w:eastAsia="仿宋_GB2312"/>
          <w:sz w:val="32"/>
          <w:szCs w:val="32"/>
          <w:lang w:eastAsia="zh-CN"/>
        </w:rPr>
        <w:t>。单位全年安排的国内公务接待0批次，0人次。</w:t>
      </w:r>
    </w:p>
    <w:p w14:paraId="1BA05E04" w14:textId="77777777" w:rsidR="0044427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经费支出全年预算数0.60万元，决算数0.60万元，预决算差异率0.00%，主要原因是：</w:t>
      </w:r>
      <w:bookmarkStart w:id="8" w:name="_Hlk207142995"/>
      <w:r>
        <w:rPr>
          <w:rFonts w:ascii="仿宋_GB2312" w:eastAsia="仿宋_GB2312" w:hint="eastAsia"/>
          <w:sz w:val="32"/>
          <w:szCs w:val="32"/>
          <w:lang w:eastAsia="zh-CN"/>
        </w:rPr>
        <w:t>严格按照预算执行，预决算对比无差异</w:t>
      </w:r>
      <w:bookmarkEnd w:id="8"/>
      <w:r>
        <w:rPr>
          <w:rFonts w:ascii="仿宋_GB2312" w:eastAsia="仿宋_GB2312"/>
          <w:sz w:val="32"/>
          <w:szCs w:val="32"/>
          <w:lang w:eastAsia="zh-CN"/>
        </w:rPr>
        <w:t>。其中：因公出国（境）费全年预算数0.00万元，决算数0.00万元，预决算差异率0.00%，主要原因是：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；公务用车运行维护费全年预算数0.60万元，决算数0.60万元，预决算差异率0.00%，主要原因是：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72437FAA" w14:textId="77777777" w:rsidR="00444275"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十、其他重要事项的情况说明</w:t>
      </w:r>
    </w:p>
    <w:p w14:paraId="22859026" w14:textId="77777777" w:rsidR="00444275"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（一）机关运行经费及公用经费支出情况</w:t>
      </w:r>
    </w:p>
    <w:p w14:paraId="78F7D127" w14:textId="77777777" w:rsidR="0044427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2024年度木垒哈萨克自治县第一小学单位（事业单位）公用经费支出39.60万元，比上年增加21.30万元，增长</w:t>
      </w:r>
      <w:r>
        <w:rPr>
          <w:rFonts w:ascii="仿宋_GB2312" w:eastAsia="仿宋_GB2312"/>
          <w:sz w:val="32"/>
          <w:szCs w:val="32"/>
          <w:lang w:eastAsia="zh-CN"/>
        </w:rPr>
        <w:lastRenderedPageBreak/>
        <w:t>116.39%，主要原因是：</w:t>
      </w:r>
      <w:r>
        <w:rPr>
          <w:rFonts w:ascii="仿宋_GB2312" w:eastAsia="仿宋_GB2312" w:hint="eastAsia"/>
          <w:sz w:val="32"/>
          <w:szCs w:val="32"/>
          <w:lang w:eastAsia="zh-CN"/>
        </w:rPr>
        <w:t>本年单位</w:t>
      </w:r>
      <w:r>
        <w:rPr>
          <w:rFonts w:ascii="仿宋_GB2312" w:eastAsia="仿宋_GB2312"/>
          <w:sz w:val="32"/>
          <w:szCs w:val="32"/>
          <w:lang w:eastAsia="zh-CN"/>
        </w:rPr>
        <w:t>取暖费、工会经费</w:t>
      </w:r>
      <w:r>
        <w:rPr>
          <w:rFonts w:ascii="仿宋_GB2312" w:eastAsia="仿宋_GB2312" w:hint="eastAsia"/>
          <w:sz w:val="32"/>
          <w:szCs w:val="32"/>
          <w:lang w:eastAsia="zh-CN"/>
        </w:rPr>
        <w:t>等较上年</w:t>
      </w:r>
      <w:r>
        <w:rPr>
          <w:rFonts w:ascii="仿宋_GB2312" w:eastAsia="仿宋_GB2312"/>
          <w:sz w:val="32"/>
          <w:szCs w:val="32"/>
          <w:lang w:eastAsia="zh-CN"/>
        </w:rPr>
        <w:t>增长。</w:t>
      </w:r>
    </w:p>
    <w:p w14:paraId="561FACB8" w14:textId="77777777" w:rsidR="00444275"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（二）政府采购情况</w:t>
      </w:r>
    </w:p>
    <w:p w14:paraId="1831E9E2" w14:textId="77777777" w:rsidR="0044427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2024年度政府采购支出总额123.76万元，其中：政府采购货物支出40.22万元、政府采购工程支出64.57万元、政府采购服务支出18.97万元。</w:t>
      </w:r>
    </w:p>
    <w:p w14:paraId="4DE6512D" w14:textId="77777777" w:rsidR="0044427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授予中小企业合同金额62.29万元，占政府采购支出总额的50.33%，其中：授予小</w:t>
      </w:r>
      <w:proofErr w:type="gramStart"/>
      <w:r>
        <w:rPr>
          <w:rFonts w:ascii="仿宋_GB2312" w:eastAsia="仿宋_GB2312"/>
          <w:sz w:val="32"/>
          <w:szCs w:val="32"/>
          <w:lang w:eastAsia="zh-CN"/>
        </w:rPr>
        <w:t>微企业</w:t>
      </w:r>
      <w:proofErr w:type="gramEnd"/>
      <w:r>
        <w:rPr>
          <w:rFonts w:ascii="仿宋_GB2312" w:eastAsia="仿宋_GB2312"/>
          <w:sz w:val="32"/>
          <w:szCs w:val="32"/>
          <w:lang w:eastAsia="zh-CN"/>
        </w:rPr>
        <w:t>合同金额59.19万元，占政府采购支出总额的47.83%。</w:t>
      </w:r>
    </w:p>
    <w:p w14:paraId="17C50F88" w14:textId="77777777" w:rsidR="00444275"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（三）国有资产占用情况说明</w:t>
      </w:r>
    </w:p>
    <w:p w14:paraId="7DF18242" w14:textId="77777777" w:rsidR="0044427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rPr>
        <w:t>截至2024年12月31日，房屋14,497.03平方米，价值2,745.64万元。</w:t>
      </w:r>
      <w:r>
        <w:rPr>
          <w:rFonts w:ascii="仿宋_GB2312" w:eastAsia="仿宋_GB2312"/>
          <w:sz w:val="32"/>
          <w:szCs w:val="32"/>
          <w:lang w:eastAsia="zh-CN"/>
        </w:rPr>
        <w:t>车辆1辆，价值8.66万元，其中：副部（省）级及以上领导用车0辆、主要负责人用车0辆、机要通信用车0辆、应急保障用车0辆、执法执勤用车0辆、特种专业技术用车0辆、离退休干部服务用车0辆、其他用车1辆，其他用车主要是：</w:t>
      </w:r>
      <w:proofErr w:type="gramStart"/>
      <w:r>
        <w:rPr>
          <w:rFonts w:ascii="仿宋_GB2312" w:eastAsia="仿宋_GB2312"/>
          <w:sz w:val="32"/>
          <w:szCs w:val="32"/>
          <w:lang w:eastAsia="zh-CN"/>
        </w:rPr>
        <w:t>学校校车;单价</w:t>
      </w:r>
      <w:proofErr w:type="gramEnd"/>
      <w:r>
        <w:rPr>
          <w:rFonts w:ascii="仿宋_GB2312" w:eastAsia="仿宋_GB2312"/>
          <w:sz w:val="32"/>
          <w:szCs w:val="32"/>
          <w:lang w:eastAsia="zh-CN"/>
        </w:rPr>
        <w:t>100万元（含）以上设备（不含车辆）0台（套）。</w:t>
      </w:r>
    </w:p>
    <w:p w14:paraId="351F2479" w14:textId="77777777" w:rsidR="00444275"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十一、预算绩效的情况说明</w:t>
      </w:r>
    </w:p>
    <w:p w14:paraId="06C71199" w14:textId="37987221" w:rsidR="0044427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w:t>
      </w:r>
      <w:r>
        <w:rPr>
          <w:rFonts w:ascii="仿宋_GB2312" w:eastAsia="仿宋_GB2312" w:hint="eastAsia"/>
          <w:sz w:val="32"/>
          <w:szCs w:val="32"/>
          <w:lang w:eastAsia="zh-CN"/>
        </w:rPr>
        <w:t>2,555.57</w:t>
      </w:r>
      <w:r>
        <w:rPr>
          <w:rFonts w:ascii="仿宋_GB2312" w:eastAsia="仿宋_GB2312"/>
          <w:sz w:val="32"/>
          <w:szCs w:val="32"/>
          <w:lang w:eastAsia="zh-CN"/>
        </w:rPr>
        <w:t>万元，实际执行总额</w:t>
      </w:r>
      <w:r>
        <w:rPr>
          <w:rFonts w:ascii="仿宋_GB2312" w:eastAsia="仿宋_GB2312" w:hint="eastAsia"/>
          <w:sz w:val="32"/>
          <w:szCs w:val="32"/>
          <w:lang w:eastAsia="zh-CN"/>
        </w:rPr>
        <w:t>2,555.57</w:t>
      </w:r>
      <w:r>
        <w:rPr>
          <w:rFonts w:ascii="仿宋_GB2312" w:eastAsia="仿宋_GB2312"/>
          <w:sz w:val="32"/>
          <w:szCs w:val="32"/>
          <w:lang w:eastAsia="zh-CN"/>
        </w:rPr>
        <w:t>万元；预算绩效评价项目</w:t>
      </w:r>
      <w:r>
        <w:rPr>
          <w:rFonts w:ascii="仿宋_GB2312" w:eastAsia="仿宋_GB2312" w:hint="eastAsia"/>
          <w:sz w:val="32"/>
          <w:szCs w:val="32"/>
          <w:lang w:eastAsia="zh-CN"/>
        </w:rPr>
        <w:t>0</w:t>
      </w:r>
      <w:r>
        <w:rPr>
          <w:rFonts w:ascii="仿宋_GB2312" w:eastAsia="仿宋_GB2312"/>
          <w:sz w:val="32"/>
          <w:szCs w:val="32"/>
          <w:lang w:eastAsia="zh-CN"/>
        </w:rPr>
        <w:t>个，全年预算数</w:t>
      </w:r>
      <w:r>
        <w:rPr>
          <w:rFonts w:ascii="仿宋_GB2312" w:eastAsia="仿宋_GB2312" w:hint="eastAsia"/>
          <w:sz w:val="32"/>
          <w:szCs w:val="32"/>
          <w:lang w:eastAsia="zh-CN"/>
        </w:rPr>
        <w:t>0.00</w:t>
      </w:r>
      <w:r>
        <w:rPr>
          <w:rFonts w:ascii="仿宋_GB2312" w:eastAsia="仿宋_GB2312"/>
          <w:sz w:val="32"/>
          <w:szCs w:val="32"/>
          <w:lang w:eastAsia="zh-CN"/>
        </w:rPr>
        <w:t>万元，全年执行数</w:t>
      </w:r>
      <w:r>
        <w:rPr>
          <w:rFonts w:ascii="仿宋_GB2312" w:eastAsia="仿宋_GB2312" w:hint="eastAsia"/>
          <w:sz w:val="32"/>
          <w:szCs w:val="32"/>
          <w:lang w:eastAsia="zh-CN"/>
        </w:rPr>
        <w:t>0.00</w:t>
      </w:r>
      <w:r>
        <w:rPr>
          <w:rFonts w:ascii="仿宋_GB2312" w:eastAsia="仿宋_GB2312"/>
          <w:sz w:val="32"/>
          <w:szCs w:val="32"/>
          <w:lang w:eastAsia="zh-CN"/>
        </w:rPr>
        <w:t>万元。预算绩效管理取得的成效：一是年初努力做好预算管理工作，将预算及时公开到相关的信息网络平台，并在执行过程中积极对执行情况进行监控，对预算的资金进行全方位的监督和管理，使每一笔资金都能起到最大的使用效益。二是通过加强预算收支管理，不断建立健全内控制度，梳理内部管理流程，部门整体支出管理情况得到提升。发现的问题及原因：一是我单位部分绩效指标设置存在不够精简、指标数据无法统计和指标值设置过低等问题，部分项目绩效指标值设定为定性的指标，指标设置的科学性、合理性有待进一步提高；二是项目实施过程中的上报、跟踪、</w:t>
      </w:r>
      <w:r>
        <w:rPr>
          <w:rFonts w:ascii="仿宋_GB2312" w:eastAsia="仿宋_GB2312"/>
          <w:sz w:val="32"/>
          <w:szCs w:val="32"/>
          <w:lang w:eastAsia="zh-CN"/>
        </w:rPr>
        <w:lastRenderedPageBreak/>
        <w:t>反馈机制尚未真正形成，对各地区项目资金的使用、实施等监管措施仍然存在改进的空间。下一步改进措施：一是大力强化宣传，加强政策学习，提高思想认识</w:t>
      </w:r>
      <w:r>
        <w:rPr>
          <w:rFonts w:ascii="仿宋_GB2312" w:eastAsia="仿宋_GB2312" w:hint="eastAsia"/>
          <w:sz w:val="32"/>
          <w:szCs w:val="32"/>
          <w:lang w:eastAsia="zh-CN"/>
        </w:rPr>
        <w:t>，</w:t>
      </w:r>
      <w:r>
        <w:rPr>
          <w:rFonts w:ascii="仿宋_GB2312" w:eastAsia="仿宋_GB2312"/>
          <w:sz w:val="32"/>
          <w:szCs w:val="32"/>
          <w:lang w:eastAsia="zh-CN"/>
        </w:rPr>
        <w:t>着力推动绩效运行监控与部门内部控制管理相结合，发现问题及时纠正，确保绩效监控结果的客观性和准确性；</w:t>
      </w:r>
      <w:r>
        <w:rPr>
          <w:rFonts w:ascii="仿宋_GB2312" w:eastAsia="仿宋_GB2312" w:hint="eastAsia"/>
          <w:sz w:val="32"/>
          <w:szCs w:val="32"/>
          <w:lang w:eastAsia="zh-CN"/>
        </w:rPr>
        <w:t>二</w:t>
      </w:r>
      <w:r>
        <w:rPr>
          <w:rFonts w:ascii="仿宋_GB2312" w:eastAsia="仿宋_GB2312"/>
          <w:sz w:val="32"/>
          <w:szCs w:val="32"/>
          <w:lang w:eastAsia="zh-CN"/>
        </w:rPr>
        <w:t>是加强资金使用管理提升履职效率，强化管理效能，优化服务效果，促进创新创优。</w:t>
      </w:r>
      <w:r w:rsidR="00AB686B">
        <w:rPr>
          <w:rFonts w:ascii="仿宋_GB2312" w:eastAsia="仿宋_GB2312"/>
          <w:sz w:val="32"/>
          <w:szCs w:val="32"/>
          <w:lang w:eastAsia="zh-CN"/>
        </w:rPr>
        <w:t>具体</w:t>
      </w:r>
      <w:proofErr w:type="gramStart"/>
      <w:r w:rsidR="00AB686B">
        <w:rPr>
          <w:rFonts w:ascii="仿宋_GB2312" w:eastAsia="仿宋_GB2312"/>
          <w:sz w:val="32"/>
          <w:szCs w:val="32"/>
          <w:lang w:eastAsia="zh-CN"/>
        </w:rPr>
        <w:t>附部门</w:t>
      </w:r>
      <w:proofErr w:type="gramEnd"/>
      <w:r w:rsidR="00AB686B">
        <w:rPr>
          <w:rFonts w:ascii="仿宋_GB2312" w:eastAsia="仿宋_GB2312"/>
          <w:sz w:val="32"/>
          <w:szCs w:val="32"/>
          <w:lang w:eastAsia="zh-CN"/>
        </w:rPr>
        <w:t>整体支出绩效自评表，项目支出绩效自评表和部门评价报告</w:t>
      </w:r>
      <w:r>
        <w:rPr>
          <w:rFonts w:ascii="仿宋_GB2312" w:eastAsia="仿宋_GB2312"/>
          <w:sz w:val="32"/>
          <w:szCs w:val="32"/>
          <w:lang w:eastAsia="zh-CN"/>
        </w:rPr>
        <w:t>。</w:t>
      </w:r>
    </w:p>
    <w:p w14:paraId="1DFAD3AE" w14:textId="77777777" w:rsidR="00444275" w:rsidRDefault="00444275">
      <w:pPr>
        <w:rPr>
          <w:rFonts w:ascii="宋体" w:eastAsia="宋体" w:hAnsi="宋体" w:cs="宋体" w:hint="eastAsia"/>
          <w:b/>
          <w:bCs/>
          <w:sz w:val="18"/>
          <w:szCs w:val="18"/>
          <w:lang w:eastAsia="zh-CN"/>
        </w:rPr>
      </w:pPr>
      <w:bookmarkStart w:id="9" w:name="_Hlk174962300"/>
    </w:p>
    <w:p w14:paraId="3A977D6C" w14:textId="77777777" w:rsidR="00444275"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28"/>
          <w:szCs w:val="28"/>
          <w:lang w:eastAsia="zh-CN"/>
        </w:rPr>
        <w:t>部门（单位）整体支出绩效目标自评表</w:t>
      </w:r>
    </w:p>
    <w:p w14:paraId="60B36F73" w14:textId="77777777" w:rsidR="0044427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9935" w:type="dxa"/>
        <w:tblInd w:w="-601" w:type="dxa"/>
        <w:tblLayout w:type="fixed"/>
        <w:tblLook w:val="04A0" w:firstRow="1" w:lastRow="0" w:firstColumn="1" w:lastColumn="0" w:noHBand="0" w:noVBand="1"/>
      </w:tblPr>
      <w:tblGrid>
        <w:gridCol w:w="993"/>
        <w:gridCol w:w="1417"/>
        <w:gridCol w:w="1418"/>
        <w:gridCol w:w="1276"/>
        <w:gridCol w:w="1842"/>
        <w:gridCol w:w="993"/>
        <w:gridCol w:w="992"/>
        <w:gridCol w:w="720"/>
        <w:gridCol w:w="284"/>
      </w:tblGrid>
      <w:tr w:rsidR="00444275" w14:paraId="719CA34B" w14:textId="77777777">
        <w:trPr>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5EC77919" w14:textId="77777777" w:rsidR="00444275"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部门（单位）名称</w:t>
            </w:r>
            <w:proofErr w:type="spellEnd"/>
          </w:p>
        </w:tc>
        <w:tc>
          <w:tcPr>
            <w:tcW w:w="8658" w:type="dxa"/>
            <w:gridSpan w:val="7"/>
            <w:tcBorders>
              <w:top w:val="single" w:sz="4" w:space="0" w:color="auto"/>
              <w:left w:val="nil"/>
              <w:bottom w:val="single" w:sz="4" w:space="0" w:color="auto"/>
              <w:right w:val="single" w:sz="4" w:space="0" w:color="auto"/>
            </w:tcBorders>
            <w:noWrap/>
            <w:vAlign w:val="center"/>
          </w:tcPr>
          <w:p w14:paraId="257DAA9F" w14:textId="77777777" w:rsidR="00444275"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木垒县第一小学</w:t>
            </w:r>
            <w:proofErr w:type="spellEnd"/>
          </w:p>
        </w:tc>
        <w:tc>
          <w:tcPr>
            <w:tcW w:w="284" w:type="dxa"/>
            <w:tcBorders>
              <w:top w:val="nil"/>
              <w:left w:val="nil"/>
              <w:bottom w:val="nil"/>
              <w:right w:val="nil"/>
            </w:tcBorders>
            <w:noWrap/>
            <w:vAlign w:val="center"/>
          </w:tcPr>
          <w:p w14:paraId="610756DF" w14:textId="77777777" w:rsidR="00444275" w:rsidRDefault="00444275">
            <w:pPr>
              <w:rPr>
                <w:rFonts w:ascii="宋体" w:eastAsia="宋体" w:hAnsi="宋体" w:cs="宋体" w:hint="eastAsia"/>
                <w:b/>
                <w:bCs/>
                <w:sz w:val="18"/>
                <w:szCs w:val="18"/>
              </w:rPr>
            </w:pPr>
          </w:p>
        </w:tc>
      </w:tr>
      <w:tr w:rsidR="00444275" w14:paraId="32402FED" w14:textId="77777777">
        <w:trPr>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21315EDF" w14:textId="77777777" w:rsidR="00444275"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部门资金（万元</w:t>
            </w:r>
            <w:proofErr w:type="spellEnd"/>
            <w:r>
              <w:rPr>
                <w:rFonts w:ascii="宋体" w:eastAsia="宋体" w:hAnsi="宋体" w:cs="宋体" w:hint="eastAsia"/>
                <w:b/>
                <w:bCs/>
                <w:sz w:val="18"/>
                <w:szCs w:val="18"/>
              </w:rPr>
              <w:t>）</w:t>
            </w:r>
          </w:p>
        </w:tc>
        <w:tc>
          <w:tcPr>
            <w:tcW w:w="1417" w:type="dxa"/>
            <w:tcBorders>
              <w:top w:val="nil"/>
              <w:left w:val="nil"/>
              <w:bottom w:val="single" w:sz="4" w:space="0" w:color="auto"/>
              <w:right w:val="single" w:sz="4" w:space="0" w:color="auto"/>
            </w:tcBorders>
            <w:vAlign w:val="center"/>
          </w:tcPr>
          <w:p w14:paraId="7E1156C4" w14:textId="77777777" w:rsidR="00444275"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资金来源</w:t>
            </w:r>
            <w:proofErr w:type="spellEnd"/>
          </w:p>
        </w:tc>
        <w:tc>
          <w:tcPr>
            <w:tcW w:w="1418" w:type="dxa"/>
            <w:tcBorders>
              <w:top w:val="nil"/>
              <w:left w:val="nil"/>
              <w:bottom w:val="single" w:sz="4" w:space="0" w:color="auto"/>
              <w:right w:val="single" w:sz="4" w:space="0" w:color="auto"/>
            </w:tcBorders>
            <w:vAlign w:val="center"/>
          </w:tcPr>
          <w:p w14:paraId="7A3AA186" w14:textId="77777777" w:rsidR="00444275"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年初预算数</w:t>
            </w:r>
            <w:proofErr w:type="spellEnd"/>
          </w:p>
        </w:tc>
        <w:tc>
          <w:tcPr>
            <w:tcW w:w="1276" w:type="dxa"/>
            <w:tcBorders>
              <w:top w:val="nil"/>
              <w:left w:val="nil"/>
              <w:bottom w:val="single" w:sz="4" w:space="0" w:color="auto"/>
              <w:right w:val="single" w:sz="4" w:space="0" w:color="auto"/>
            </w:tcBorders>
            <w:vAlign w:val="center"/>
          </w:tcPr>
          <w:p w14:paraId="3653897E" w14:textId="77777777" w:rsidR="00444275"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全年预算数</w:t>
            </w:r>
            <w:proofErr w:type="spellEnd"/>
          </w:p>
        </w:tc>
        <w:tc>
          <w:tcPr>
            <w:tcW w:w="1842" w:type="dxa"/>
            <w:tcBorders>
              <w:top w:val="nil"/>
              <w:left w:val="nil"/>
              <w:bottom w:val="single" w:sz="4" w:space="0" w:color="auto"/>
              <w:right w:val="single" w:sz="4" w:space="0" w:color="auto"/>
            </w:tcBorders>
            <w:vAlign w:val="center"/>
          </w:tcPr>
          <w:p w14:paraId="3DCE6B55" w14:textId="77777777" w:rsidR="00444275"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全年执行数</w:t>
            </w:r>
            <w:proofErr w:type="spellEnd"/>
          </w:p>
        </w:tc>
        <w:tc>
          <w:tcPr>
            <w:tcW w:w="993" w:type="dxa"/>
            <w:tcBorders>
              <w:top w:val="nil"/>
              <w:left w:val="nil"/>
              <w:bottom w:val="single" w:sz="4" w:space="0" w:color="auto"/>
              <w:right w:val="single" w:sz="4" w:space="0" w:color="auto"/>
            </w:tcBorders>
            <w:vAlign w:val="center"/>
          </w:tcPr>
          <w:p w14:paraId="32F87D70" w14:textId="77777777" w:rsidR="00444275"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分值权重</w:t>
            </w:r>
            <w:proofErr w:type="spellEnd"/>
          </w:p>
        </w:tc>
        <w:tc>
          <w:tcPr>
            <w:tcW w:w="992" w:type="dxa"/>
            <w:tcBorders>
              <w:top w:val="nil"/>
              <w:left w:val="nil"/>
              <w:bottom w:val="single" w:sz="4" w:space="0" w:color="auto"/>
              <w:right w:val="single" w:sz="4" w:space="0" w:color="auto"/>
            </w:tcBorders>
            <w:vAlign w:val="center"/>
          </w:tcPr>
          <w:p w14:paraId="01F0F833" w14:textId="77777777" w:rsidR="00444275"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执行率</w:t>
            </w:r>
            <w:proofErr w:type="spellEnd"/>
          </w:p>
        </w:tc>
        <w:tc>
          <w:tcPr>
            <w:tcW w:w="720" w:type="dxa"/>
            <w:tcBorders>
              <w:top w:val="nil"/>
              <w:left w:val="nil"/>
              <w:bottom w:val="single" w:sz="4" w:space="0" w:color="auto"/>
              <w:right w:val="single" w:sz="4" w:space="0" w:color="auto"/>
            </w:tcBorders>
            <w:vAlign w:val="center"/>
          </w:tcPr>
          <w:p w14:paraId="146E6D15" w14:textId="77777777" w:rsidR="00444275"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得分</w:t>
            </w:r>
            <w:proofErr w:type="spellEnd"/>
          </w:p>
        </w:tc>
        <w:tc>
          <w:tcPr>
            <w:tcW w:w="284" w:type="dxa"/>
            <w:tcBorders>
              <w:top w:val="nil"/>
              <w:left w:val="nil"/>
              <w:bottom w:val="nil"/>
              <w:right w:val="nil"/>
            </w:tcBorders>
            <w:noWrap/>
            <w:vAlign w:val="center"/>
          </w:tcPr>
          <w:p w14:paraId="6B5B8D14" w14:textId="77777777" w:rsidR="00444275" w:rsidRDefault="00444275">
            <w:pPr>
              <w:jc w:val="center"/>
              <w:rPr>
                <w:rFonts w:ascii="宋体" w:eastAsia="宋体" w:hAnsi="宋体" w:cs="宋体" w:hint="eastAsia"/>
                <w:b/>
                <w:bCs/>
                <w:sz w:val="18"/>
                <w:szCs w:val="18"/>
              </w:rPr>
            </w:pPr>
          </w:p>
        </w:tc>
      </w:tr>
      <w:tr w:rsidR="00444275" w14:paraId="6CD285D4" w14:textId="77777777">
        <w:trPr>
          <w:trHeight w:val="489"/>
        </w:trPr>
        <w:tc>
          <w:tcPr>
            <w:tcW w:w="993" w:type="dxa"/>
            <w:vMerge/>
            <w:tcBorders>
              <w:top w:val="single" w:sz="4" w:space="0" w:color="auto"/>
              <w:left w:val="single" w:sz="4" w:space="0" w:color="auto"/>
              <w:bottom w:val="single" w:sz="4" w:space="0" w:color="auto"/>
              <w:right w:val="single" w:sz="4" w:space="0" w:color="auto"/>
            </w:tcBorders>
            <w:vAlign w:val="center"/>
          </w:tcPr>
          <w:p w14:paraId="637B7415" w14:textId="77777777" w:rsidR="00444275" w:rsidRDefault="00444275">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noWrap/>
            <w:vAlign w:val="center"/>
          </w:tcPr>
          <w:p w14:paraId="1221336E" w14:textId="77777777" w:rsidR="00444275"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上级资金</w:t>
            </w:r>
            <w:proofErr w:type="spellEnd"/>
          </w:p>
        </w:tc>
        <w:tc>
          <w:tcPr>
            <w:tcW w:w="1418" w:type="dxa"/>
            <w:tcBorders>
              <w:top w:val="nil"/>
              <w:left w:val="nil"/>
              <w:bottom w:val="single" w:sz="4" w:space="0" w:color="auto"/>
              <w:right w:val="single" w:sz="4" w:space="0" w:color="auto"/>
            </w:tcBorders>
            <w:vAlign w:val="center"/>
          </w:tcPr>
          <w:p w14:paraId="1EBEC8B9" w14:textId="77777777" w:rsidR="00444275" w:rsidRDefault="00000000">
            <w:pPr>
              <w:jc w:val="center"/>
              <w:rPr>
                <w:rFonts w:ascii="宋体" w:eastAsia="宋体" w:hAnsi="宋体" w:cs="宋体" w:hint="eastAsia"/>
                <w:sz w:val="18"/>
                <w:szCs w:val="18"/>
              </w:rPr>
            </w:pPr>
            <w:r>
              <w:rPr>
                <w:rFonts w:ascii="宋体" w:eastAsia="宋体" w:hAnsi="宋体" w:cs="宋体" w:hint="eastAsia"/>
                <w:sz w:val="18"/>
                <w:szCs w:val="18"/>
              </w:rPr>
              <w:t>131.30</w:t>
            </w:r>
          </w:p>
        </w:tc>
        <w:tc>
          <w:tcPr>
            <w:tcW w:w="1276" w:type="dxa"/>
            <w:tcBorders>
              <w:top w:val="nil"/>
              <w:left w:val="nil"/>
              <w:bottom w:val="single" w:sz="4" w:space="0" w:color="auto"/>
              <w:right w:val="single" w:sz="4" w:space="0" w:color="auto"/>
            </w:tcBorders>
            <w:vAlign w:val="center"/>
          </w:tcPr>
          <w:p w14:paraId="182718CE" w14:textId="77777777" w:rsidR="00444275" w:rsidRDefault="00000000">
            <w:pPr>
              <w:jc w:val="center"/>
              <w:rPr>
                <w:rFonts w:ascii="宋体" w:eastAsia="宋体" w:hAnsi="宋体" w:cs="宋体" w:hint="eastAsia"/>
                <w:sz w:val="18"/>
                <w:szCs w:val="18"/>
              </w:rPr>
            </w:pPr>
            <w:r>
              <w:rPr>
                <w:rFonts w:ascii="宋体" w:eastAsia="宋体" w:hAnsi="宋体" w:cs="宋体" w:hint="eastAsia"/>
                <w:sz w:val="18"/>
                <w:szCs w:val="18"/>
              </w:rPr>
              <w:t>173.73</w:t>
            </w:r>
          </w:p>
        </w:tc>
        <w:tc>
          <w:tcPr>
            <w:tcW w:w="1842" w:type="dxa"/>
            <w:tcBorders>
              <w:top w:val="nil"/>
              <w:left w:val="nil"/>
              <w:bottom w:val="single" w:sz="4" w:space="0" w:color="auto"/>
              <w:right w:val="single" w:sz="4" w:space="0" w:color="auto"/>
            </w:tcBorders>
            <w:vAlign w:val="center"/>
          </w:tcPr>
          <w:p w14:paraId="2EEF6822" w14:textId="77777777" w:rsidR="00444275" w:rsidRDefault="00000000">
            <w:pPr>
              <w:jc w:val="center"/>
              <w:rPr>
                <w:rFonts w:ascii="宋体" w:eastAsia="宋体" w:hAnsi="宋体" w:cs="宋体" w:hint="eastAsia"/>
                <w:sz w:val="18"/>
                <w:szCs w:val="18"/>
              </w:rPr>
            </w:pPr>
            <w:r>
              <w:rPr>
                <w:rFonts w:ascii="宋体" w:eastAsia="宋体" w:hAnsi="宋体" w:cs="宋体" w:hint="eastAsia"/>
                <w:sz w:val="18"/>
                <w:szCs w:val="18"/>
              </w:rPr>
              <w:t>173.73</w:t>
            </w:r>
          </w:p>
        </w:tc>
        <w:tc>
          <w:tcPr>
            <w:tcW w:w="993" w:type="dxa"/>
            <w:tcBorders>
              <w:top w:val="nil"/>
              <w:left w:val="nil"/>
              <w:bottom w:val="single" w:sz="4" w:space="0" w:color="auto"/>
              <w:right w:val="single" w:sz="4" w:space="0" w:color="auto"/>
            </w:tcBorders>
            <w:vAlign w:val="center"/>
          </w:tcPr>
          <w:p w14:paraId="317ABD44" w14:textId="77777777" w:rsidR="00444275"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992" w:type="dxa"/>
            <w:tcBorders>
              <w:top w:val="nil"/>
              <w:left w:val="nil"/>
              <w:bottom w:val="single" w:sz="4" w:space="0" w:color="auto"/>
              <w:right w:val="single" w:sz="4" w:space="0" w:color="auto"/>
            </w:tcBorders>
            <w:vAlign w:val="center"/>
          </w:tcPr>
          <w:p w14:paraId="4CBB962B" w14:textId="77777777" w:rsidR="00444275" w:rsidRDefault="00000000">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vAlign w:val="center"/>
          </w:tcPr>
          <w:p w14:paraId="537CDFDD" w14:textId="77777777" w:rsidR="00444275"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284" w:type="dxa"/>
            <w:tcBorders>
              <w:top w:val="nil"/>
              <w:left w:val="nil"/>
              <w:bottom w:val="nil"/>
              <w:right w:val="nil"/>
            </w:tcBorders>
            <w:noWrap/>
            <w:vAlign w:val="center"/>
          </w:tcPr>
          <w:p w14:paraId="78A4FEDE" w14:textId="77777777" w:rsidR="00444275" w:rsidRDefault="00444275">
            <w:pPr>
              <w:jc w:val="center"/>
              <w:rPr>
                <w:rFonts w:ascii="宋体" w:eastAsia="宋体" w:hAnsi="宋体" w:cs="宋体" w:hint="eastAsia"/>
                <w:b/>
                <w:bCs/>
                <w:sz w:val="18"/>
                <w:szCs w:val="18"/>
              </w:rPr>
            </w:pPr>
          </w:p>
        </w:tc>
      </w:tr>
      <w:tr w:rsidR="00444275" w14:paraId="7627C6A2" w14:textId="77777777">
        <w:trPr>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63650788" w14:textId="77777777" w:rsidR="00444275" w:rsidRDefault="00444275">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35DECD70" w14:textId="77777777" w:rsidR="00444275"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本级资金</w:t>
            </w:r>
            <w:proofErr w:type="spellEnd"/>
          </w:p>
        </w:tc>
        <w:tc>
          <w:tcPr>
            <w:tcW w:w="1418" w:type="dxa"/>
            <w:tcBorders>
              <w:top w:val="nil"/>
              <w:left w:val="nil"/>
              <w:bottom w:val="single" w:sz="4" w:space="0" w:color="auto"/>
              <w:right w:val="single" w:sz="4" w:space="0" w:color="auto"/>
            </w:tcBorders>
            <w:vAlign w:val="center"/>
          </w:tcPr>
          <w:p w14:paraId="3F7C2425" w14:textId="77777777" w:rsidR="00444275" w:rsidRDefault="00000000">
            <w:pPr>
              <w:jc w:val="center"/>
              <w:rPr>
                <w:rFonts w:ascii="宋体" w:eastAsia="宋体" w:hAnsi="宋体" w:cs="宋体" w:hint="eastAsia"/>
                <w:sz w:val="18"/>
                <w:szCs w:val="18"/>
              </w:rPr>
            </w:pPr>
            <w:r>
              <w:rPr>
                <w:rFonts w:ascii="宋体" w:eastAsia="宋体" w:hAnsi="宋体" w:cs="宋体" w:hint="eastAsia"/>
                <w:sz w:val="18"/>
                <w:szCs w:val="18"/>
              </w:rPr>
              <w:t>2,376.33</w:t>
            </w:r>
          </w:p>
        </w:tc>
        <w:tc>
          <w:tcPr>
            <w:tcW w:w="1276" w:type="dxa"/>
            <w:tcBorders>
              <w:top w:val="nil"/>
              <w:left w:val="nil"/>
              <w:bottom w:val="single" w:sz="4" w:space="0" w:color="auto"/>
              <w:right w:val="single" w:sz="4" w:space="0" w:color="auto"/>
            </w:tcBorders>
            <w:vAlign w:val="center"/>
          </w:tcPr>
          <w:p w14:paraId="18836CD8" w14:textId="77777777" w:rsidR="00444275" w:rsidRDefault="00000000">
            <w:pPr>
              <w:jc w:val="center"/>
              <w:rPr>
                <w:rFonts w:ascii="宋体" w:eastAsia="宋体" w:hAnsi="宋体" w:cs="宋体" w:hint="eastAsia"/>
                <w:sz w:val="18"/>
                <w:szCs w:val="18"/>
              </w:rPr>
            </w:pPr>
            <w:r>
              <w:rPr>
                <w:rFonts w:ascii="宋体" w:eastAsia="宋体" w:hAnsi="宋体" w:cs="宋体" w:hint="eastAsia"/>
                <w:sz w:val="18"/>
                <w:szCs w:val="18"/>
              </w:rPr>
              <w:t>2,251.43</w:t>
            </w:r>
          </w:p>
        </w:tc>
        <w:tc>
          <w:tcPr>
            <w:tcW w:w="1842" w:type="dxa"/>
            <w:tcBorders>
              <w:top w:val="nil"/>
              <w:left w:val="nil"/>
              <w:bottom w:val="single" w:sz="4" w:space="0" w:color="auto"/>
              <w:right w:val="single" w:sz="4" w:space="0" w:color="auto"/>
            </w:tcBorders>
            <w:vAlign w:val="center"/>
          </w:tcPr>
          <w:p w14:paraId="04F3664D" w14:textId="77777777" w:rsidR="00444275" w:rsidRDefault="00000000">
            <w:pPr>
              <w:jc w:val="center"/>
              <w:rPr>
                <w:rFonts w:ascii="宋体" w:eastAsia="宋体" w:hAnsi="宋体" w:cs="宋体" w:hint="eastAsia"/>
                <w:sz w:val="18"/>
                <w:szCs w:val="18"/>
              </w:rPr>
            </w:pPr>
            <w:r>
              <w:rPr>
                <w:rFonts w:ascii="宋体" w:eastAsia="宋体" w:hAnsi="宋体" w:cs="宋体" w:hint="eastAsia"/>
                <w:sz w:val="18"/>
                <w:szCs w:val="18"/>
              </w:rPr>
              <w:t>2,251.43</w:t>
            </w:r>
          </w:p>
        </w:tc>
        <w:tc>
          <w:tcPr>
            <w:tcW w:w="993" w:type="dxa"/>
            <w:tcBorders>
              <w:top w:val="nil"/>
              <w:left w:val="nil"/>
              <w:bottom w:val="single" w:sz="4" w:space="0" w:color="auto"/>
              <w:right w:val="single" w:sz="4" w:space="0" w:color="auto"/>
            </w:tcBorders>
            <w:vAlign w:val="center"/>
          </w:tcPr>
          <w:p w14:paraId="08A8448F" w14:textId="77777777" w:rsidR="00444275"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992" w:type="dxa"/>
            <w:tcBorders>
              <w:top w:val="nil"/>
              <w:left w:val="nil"/>
              <w:bottom w:val="single" w:sz="4" w:space="0" w:color="auto"/>
              <w:right w:val="single" w:sz="4" w:space="0" w:color="auto"/>
            </w:tcBorders>
            <w:vAlign w:val="center"/>
          </w:tcPr>
          <w:p w14:paraId="3A5AD859" w14:textId="77777777" w:rsidR="00444275"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4A2AA33A" w14:textId="77777777" w:rsidR="00444275"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284" w:type="dxa"/>
            <w:tcBorders>
              <w:top w:val="nil"/>
              <w:left w:val="nil"/>
              <w:bottom w:val="nil"/>
              <w:right w:val="nil"/>
            </w:tcBorders>
            <w:noWrap/>
            <w:vAlign w:val="center"/>
          </w:tcPr>
          <w:p w14:paraId="60C4BA31" w14:textId="77777777" w:rsidR="00444275" w:rsidRDefault="00444275">
            <w:pPr>
              <w:jc w:val="center"/>
              <w:rPr>
                <w:rFonts w:ascii="宋体" w:eastAsia="宋体" w:hAnsi="宋体" w:cs="宋体" w:hint="eastAsia"/>
                <w:sz w:val="18"/>
                <w:szCs w:val="18"/>
              </w:rPr>
            </w:pPr>
          </w:p>
        </w:tc>
      </w:tr>
      <w:tr w:rsidR="00444275" w14:paraId="12D695DF" w14:textId="77777777">
        <w:trPr>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6EFC3713" w14:textId="77777777" w:rsidR="00444275" w:rsidRDefault="00444275">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5CD9C86A" w14:textId="77777777" w:rsidR="00444275"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其他资金</w:t>
            </w:r>
            <w:proofErr w:type="spellEnd"/>
          </w:p>
        </w:tc>
        <w:tc>
          <w:tcPr>
            <w:tcW w:w="1418" w:type="dxa"/>
            <w:tcBorders>
              <w:top w:val="nil"/>
              <w:left w:val="nil"/>
              <w:bottom w:val="single" w:sz="4" w:space="0" w:color="auto"/>
              <w:right w:val="single" w:sz="4" w:space="0" w:color="auto"/>
            </w:tcBorders>
            <w:vAlign w:val="center"/>
          </w:tcPr>
          <w:p w14:paraId="29EA75BB" w14:textId="77777777" w:rsidR="00444275" w:rsidRDefault="00000000">
            <w:pPr>
              <w:jc w:val="center"/>
              <w:rPr>
                <w:rFonts w:ascii="宋体" w:eastAsia="宋体" w:hAnsi="宋体" w:cs="宋体" w:hint="eastAsia"/>
                <w:sz w:val="18"/>
                <w:szCs w:val="18"/>
              </w:rPr>
            </w:pPr>
            <w:r>
              <w:rPr>
                <w:rFonts w:ascii="宋体" w:eastAsia="宋体" w:hAnsi="宋体" w:cs="宋体" w:hint="eastAsia"/>
                <w:sz w:val="18"/>
                <w:szCs w:val="18"/>
              </w:rPr>
              <w:t>189.75</w:t>
            </w:r>
          </w:p>
        </w:tc>
        <w:tc>
          <w:tcPr>
            <w:tcW w:w="1276" w:type="dxa"/>
            <w:tcBorders>
              <w:top w:val="nil"/>
              <w:left w:val="nil"/>
              <w:bottom w:val="single" w:sz="4" w:space="0" w:color="auto"/>
              <w:right w:val="single" w:sz="4" w:space="0" w:color="auto"/>
            </w:tcBorders>
            <w:vAlign w:val="center"/>
          </w:tcPr>
          <w:p w14:paraId="22B35E01" w14:textId="77777777" w:rsidR="00444275" w:rsidRDefault="00000000">
            <w:pPr>
              <w:jc w:val="center"/>
              <w:rPr>
                <w:rFonts w:ascii="宋体" w:eastAsia="宋体" w:hAnsi="宋体" w:cs="宋体" w:hint="eastAsia"/>
                <w:sz w:val="18"/>
                <w:szCs w:val="18"/>
              </w:rPr>
            </w:pPr>
            <w:r>
              <w:rPr>
                <w:rFonts w:ascii="宋体" w:eastAsia="宋体" w:hAnsi="宋体" w:cs="宋体" w:hint="eastAsia"/>
                <w:sz w:val="18"/>
                <w:szCs w:val="18"/>
              </w:rPr>
              <w:t>130.41</w:t>
            </w:r>
          </w:p>
        </w:tc>
        <w:tc>
          <w:tcPr>
            <w:tcW w:w="1842" w:type="dxa"/>
            <w:tcBorders>
              <w:top w:val="nil"/>
              <w:left w:val="nil"/>
              <w:bottom w:val="single" w:sz="4" w:space="0" w:color="auto"/>
              <w:right w:val="single" w:sz="4" w:space="0" w:color="auto"/>
            </w:tcBorders>
            <w:vAlign w:val="center"/>
          </w:tcPr>
          <w:p w14:paraId="562A0263" w14:textId="77777777" w:rsidR="00444275" w:rsidRDefault="00000000">
            <w:pPr>
              <w:jc w:val="center"/>
              <w:rPr>
                <w:rFonts w:ascii="宋体" w:eastAsia="宋体" w:hAnsi="宋体" w:cs="宋体" w:hint="eastAsia"/>
                <w:sz w:val="18"/>
                <w:szCs w:val="18"/>
              </w:rPr>
            </w:pPr>
            <w:r>
              <w:rPr>
                <w:rFonts w:ascii="宋体" w:eastAsia="宋体" w:hAnsi="宋体" w:cs="宋体" w:hint="eastAsia"/>
                <w:sz w:val="18"/>
                <w:szCs w:val="18"/>
              </w:rPr>
              <w:t>130.41</w:t>
            </w:r>
          </w:p>
        </w:tc>
        <w:tc>
          <w:tcPr>
            <w:tcW w:w="993" w:type="dxa"/>
            <w:tcBorders>
              <w:top w:val="nil"/>
              <w:left w:val="nil"/>
              <w:bottom w:val="single" w:sz="4" w:space="0" w:color="auto"/>
              <w:right w:val="single" w:sz="4" w:space="0" w:color="auto"/>
            </w:tcBorders>
            <w:vAlign w:val="center"/>
          </w:tcPr>
          <w:p w14:paraId="24AA6862" w14:textId="77777777" w:rsidR="00444275"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992" w:type="dxa"/>
            <w:tcBorders>
              <w:top w:val="nil"/>
              <w:left w:val="nil"/>
              <w:bottom w:val="single" w:sz="4" w:space="0" w:color="auto"/>
              <w:right w:val="single" w:sz="4" w:space="0" w:color="auto"/>
            </w:tcBorders>
            <w:vAlign w:val="center"/>
          </w:tcPr>
          <w:p w14:paraId="387337F7" w14:textId="77777777" w:rsidR="00444275"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3736D9B2" w14:textId="77777777" w:rsidR="00444275"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284" w:type="dxa"/>
            <w:tcBorders>
              <w:top w:val="nil"/>
              <w:left w:val="nil"/>
              <w:bottom w:val="nil"/>
              <w:right w:val="nil"/>
            </w:tcBorders>
            <w:noWrap/>
            <w:vAlign w:val="center"/>
          </w:tcPr>
          <w:p w14:paraId="4E4A48C5" w14:textId="77777777" w:rsidR="00444275" w:rsidRDefault="00444275">
            <w:pPr>
              <w:jc w:val="center"/>
              <w:rPr>
                <w:rFonts w:ascii="宋体" w:eastAsia="宋体" w:hAnsi="宋体" w:cs="宋体" w:hint="eastAsia"/>
                <w:sz w:val="18"/>
                <w:szCs w:val="18"/>
              </w:rPr>
            </w:pPr>
          </w:p>
        </w:tc>
      </w:tr>
      <w:tr w:rsidR="00444275" w14:paraId="049EA6AF" w14:textId="77777777">
        <w:trPr>
          <w:trHeight w:val="415"/>
        </w:trPr>
        <w:tc>
          <w:tcPr>
            <w:tcW w:w="993" w:type="dxa"/>
            <w:vMerge/>
            <w:tcBorders>
              <w:top w:val="single" w:sz="4" w:space="0" w:color="auto"/>
              <w:left w:val="single" w:sz="4" w:space="0" w:color="auto"/>
              <w:bottom w:val="single" w:sz="4" w:space="0" w:color="auto"/>
              <w:right w:val="single" w:sz="4" w:space="0" w:color="auto"/>
            </w:tcBorders>
            <w:vAlign w:val="center"/>
          </w:tcPr>
          <w:p w14:paraId="4D40397E" w14:textId="77777777" w:rsidR="00444275" w:rsidRDefault="00444275">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33EA7A6E" w14:textId="77777777" w:rsidR="00444275"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合计</w:t>
            </w:r>
            <w:proofErr w:type="spellEnd"/>
          </w:p>
        </w:tc>
        <w:tc>
          <w:tcPr>
            <w:tcW w:w="1418" w:type="dxa"/>
            <w:tcBorders>
              <w:top w:val="nil"/>
              <w:left w:val="nil"/>
              <w:bottom w:val="single" w:sz="4" w:space="0" w:color="auto"/>
              <w:right w:val="single" w:sz="4" w:space="0" w:color="auto"/>
            </w:tcBorders>
            <w:vAlign w:val="center"/>
          </w:tcPr>
          <w:p w14:paraId="456797C4" w14:textId="77777777" w:rsidR="00444275" w:rsidRDefault="00000000">
            <w:pPr>
              <w:jc w:val="center"/>
              <w:rPr>
                <w:rFonts w:ascii="宋体" w:eastAsia="宋体" w:hAnsi="宋体" w:cs="宋体" w:hint="eastAsia"/>
                <w:sz w:val="18"/>
                <w:szCs w:val="18"/>
              </w:rPr>
            </w:pPr>
            <w:r>
              <w:rPr>
                <w:rFonts w:ascii="宋体" w:eastAsia="宋体" w:hAnsi="宋体" w:cs="宋体" w:hint="eastAsia"/>
                <w:sz w:val="18"/>
                <w:szCs w:val="18"/>
              </w:rPr>
              <w:t>2,697.38</w:t>
            </w:r>
          </w:p>
        </w:tc>
        <w:tc>
          <w:tcPr>
            <w:tcW w:w="1276" w:type="dxa"/>
            <w:tcBorders>
              <w:top w:val="nil"/>
              <w:left w:val="nil"/>
              <w:bottom w:val="single" w:sz="4" w:space="0" w:color="auto"/>
              <w:right w:val="single" w:sz="4" w:space="0" w:color="auto"/>
            </w:tcBorders>
            <w:vAlign w:val="center"/>
          </w:tcPr>
          <w:p w14:paraId="323610D2" w14:textId="77777777" w:rsidR="00444275" w:rsidRDefault="00000000">
            <w:pPr>
              <w:jc w:val="center"/>
              <w:rPr>
                <w:rFonts w:ascii="宋体" w:eastAsia="宋体" w:hAnsi="宋体" w:cs="宋体" w:hint="eastAsia"/>
                <w:sz w:val="18"/>
                <w:szCs w:val="18"/>
              </w:rPr>
            </w:pPr>
            <w:r>
              <w:rPr>
                <w:rFonts w:ascii="宋体" w:eastAsia="宋体" w:hAnsi="宋体" w:cs="宋体" w:hint="eastAsia"/>
                <w:sz w:val="18"/>
                <w:szCs w:val="18"/>
              </w:rPr>
              <w:t>2,555.57</w:t>
            </w:r>
          </w:p>
        </w:tc>
        <w:tc>
          <w:tcPr>
            <w:tcW w:w="1842" w:type="dxa"/>
            <w:tcBorders>
              <w:top w:val="nil"/>
              <w:left w:val="nil"/>
              <w:bottom w:val="single" w:sz="4" w:space="0" w:color="auto"/>
              <w:right w:val="single" w:sz="4" w:space="0" w:color="auto"/>
            </w:tcBorders>
            <w:vAlign w:val="center"/>
          </w:tcPr>
          <w:p w14:paraId="5F30213A" w14:textId="77777777" w:rsidR="00444275" w:rsidRDefault="00000000">
            <w:pPr>
              <w:jc w:val="center"/>
              <w:rPr>
                <w:rFonts w:ascii="宋体" w:eastAsia="宋体" w:hAnsi="宋体" w:cs="宋体" w:hint="eastAsia"/>
                <w:sz w:val="18"/>
                <w:szCs w:val="18"/>
              </w:rPr>
            </w:pPr>
            <w:r>
              <w:rPr>
                <w:rFonts w:ascii="宋体" w:eastAsia="宋体" w:hAnsi="宋体" w:cs="宋体" w:hint="eastAsia"/>
                <w:sz w:val="18"/>
                <w:szCs w:val="18"/>
              </w:rPr>
              <w:t>2,555.57</w:t>
            </w:r>
          </w:p>
        </w:tc>
        <w:tc>
          <w:tcPr>
            <w:tcW w:w="993" w:type="dxa"/>
            <w:tcBorders>
              <w:top w:val="nil"/>
              <w:left w:val="nil"/>
              <w:bottom w:val="single" w:sz="4" w:space="0" w:color="auto"/>
              <w:right w:val="single" w:sz="4" w:space="0" w:color="auto"/>
            </w:tcBorders>
            <w:vAlign w:val="center"/>
          </w:tcPr>
          <w:p w14:paraId="54779F36" w14:textId="77777777" w:rsidR="00444275"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992" w:type="dxa"/>
            <w:tcBorders>
              <w:top w:val="nil"/>
              <w:left w:val="nil"/>
              <w:bottom w:val="single" w:sz="4" w:space="0" w:color="auto"/>
              <w:right w:val="single" w:sz="4" w:space="0" w:color="auto"/>
            </w:tcBorders>
            <w:vAlign w:val="center"/>
          </w:tcPr>
          <w:p w14:paraId="0C23BF19" w14:textId="77777777" w:rsidR="00444275"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720" w:type="dxa"/>
            <w:tcBorders>
              <w:top w:val="nil"/>
              <w:left w:val="nil"/>
              <w:bottom w:val="single" w:sz="4" w:space="0" w:color="auto"/>
              <w:right w:val="single" w:sz="4" w:space="0" w:color="auto"/>
            </w:tcBorders>
            <w:vAlign w:val="center"/>
          </w:tcPr>
          <w:p w14:paraId="5266EBD0" w14:textId="77777777" w:rsidR="00444275"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284" w:type="dxa"/>
            <w:tcBorders>
              <w:top w:val="nil"/>
              <w:left w:val="nil"/>
              <w:bottom w:val="nil"/>
              <w:right w:val="nil"/>
            </w:tcBorders>
            <w:noWrap/>
            <w:vAlign w:val="center"/>
          </w:tcPr>
          <w:p w14:paraId="51715A36" w14:textId="77777777" w:rsidR="00444275" w:rsidRDefault="00444275">
            <w:pPr>
              <w:jc w:val="center"/>
              <w:rPr>
                <w:rFonts w:ascii="宋体" w:eastAsia="宋体" w:hAnsi="宋体" w:cs="宋体" w:hint="eastAsia"/>
                <w:sz w:val="18"/>
                <w:szCs w:val="18"/>
              </w:rPr>
            </w:pPr>
          </w:p>
        </w:tc>
      </w:tr>
      <w:tr w:rsidR="00444275" w14:paraId="1BF6714D" w14:textId="77777777">
        <w:trPr>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556D2B9D" w14:textId="77777777" w:rsidR="00444275"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年度总体目标</w:t>
            </w:r>
            <w:proofErr w:type="spellEnd"/>
          </w:p>
        </w:tc>
        <w:tc>
          <w:tcPr>
            <w:tcW w:w="4111" w:type="dxa"/>
            <w:gridSpan w:val="3"/>
            <w:tcBorders>
              <w:top w:val="single" w:sz="4" w:space="0" w:color="auto"/>
              <w:left w:val="nil"/>
              <w:bottom w:val="single" w:sz="4" w:space="0" w:color="auto"/>
              <w:right w:val="single" w:sz="4" w:space="0" w:color="auto"/>
            </w:tcBorders>
            <w:noWrap/>
            <w:vAlign w:val="center"/>
          </w:tcPr>
          <w:p w14:paraId="582F0E09" w14:textId="77777777" w:rsidR="00444275"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预期目标</w:t>
            </w:r>
            <w:proofErr w:type="spellEnd"/>
          </w:p>
        </w:tc>
        <w:tc>
          <w:tcPr>
            <w:tcW w:w="4547" w:type="dxa"/>
            <w:gridSpan w:val="4"/>
            <w:tcBorders>
              <w:top w:val="single" w:sz="4" w:space="0" w:color="auto"/>
              <w:left w:val="nil"/>
              <w:bottom w:val="single" w:sz="4" w:space="0" w:color="auto"/>
              <w:right w:val="single" w:sz="4" w:space="0" w:color="auto"/>
            </w:tcBorders>
            <w:noWrap/>
            <w:vAlign w:val="center"/>
          </w:tcPr>
          <w:p w14:paraId="203A4D9B" w14:textId="77777777" w:rsidR="00444275"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实际完成情况</w:t>
            </w:r>
            <w:proofErr w:type="spellEnd"/>
          </w:p>
        </w:tc>
        <w:tc>
          <w:tcPr>
            <w:tcW w:w="284" w:type="dxa"/>
            <w:tcBorders>
              <w:top w:val="nil"/>
              <w:left w:val="nil"/>
              <w:bottom w:val="nil"/>
              <w:right w:val="nil"/>
            </w:tcBorders>
            <w:noWrap/>
            <w:vAlign w:val="center"/>
          </w:tcPr>
          <w:p w14:paraId="77C00115" w14:textId="77777777" w:rsidR="00444275" w:rsidRDefault="00444275">
            <w:pPr>
              <w:rPr>
                <w:rFonts w:ascii="宋体" w:eastAsia="宋体" w:hAnsi="宋体" w:cs="宋体" w:hint="eastAsia"/>
                <w:b/>
                <w:bCs/>
                <w:sz w:val="18"/>
                <w:szCs w:val="18"/>
              </w:rPr>
            </w:pPr>
          </w:p>
        </w:tc>
      </w:tr>
      <w:tr w:rsidR="00444275" w14:paraId="23952F76" w14:textId="77777777">
        <w:trPr>
          <w:trHeight w:val="705"/>
        </w:trPr>
        <w:tc>
          <w:tcPr>
            <w:tcW w:w="993" w:type="dxa"/>
            <w:vMerge/>
            <w:tcBorders>
              <w:top w:val="single" w:sz="4" w:space="0" w:color="auto"/>
              <w:left w:val="single" w:sz="4" w:space="0" w:color="auto"/>
              <w:bottom w:val="single" w:sz="4" w:space="0" w:color="auto"/>
              <w:right w:val="single" w:sz="4" w:space="0" w:color="auto"/>
            </w:tcBorders>
            <w:vAlign w:val="center"/>
          </w:tcPr>
          <w:p w14:paraId="58655563" w14:textId="77777777" w:rsidR="00444275" w:rsidRDefault="00444275">
            <w:pPr>
              <w:rPr>
                <w:rFonts w:ascii="宋体" w:eastAsia="宋体" w:hAnsi="宋体" w:cs="宋体" w:hint="eastAsia"/>
                <w:b/>
                <w:bCs/>
                <w:sz w:val="18"/>
                <w:szCs w:val="18"/>
              </w:rPr>
            </w:pPr>
          </w:p>
        </w:tc>
        <w:tc>
          <w:tcPr>
            <w:tcW w:w="4111" w:type="dxa"/>
            <w:gridSpan w:val="3"/>
            <w:tcBorders>
              <w:top w:val="single" w:sz="4" w:space="0" w:color="auto"/>
              <w:left w:val="nil"/>
              <w:bottom w:val="single" w:sz="4" w:space="0" w:color="auto"/>
              <w:right w:val="single" w:sz="4" w:space="0" w:color="auto"/>
            </w:tcBorders>
          </w:tcPr>
          <w:p w14:paraId="42899C91" w14:textId="77777777" w:rsidR="00444275"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目标1：宣传贯彻执行党和国家的教育方针、政策、法律法规等，坚持依法执教、依法治学，贯彻执行县教育局的行政规章制度；目标2：资助学生人数186人，助学金发</w:t>
            </w:r>
            <w:proofErr w:type="gramStart"/>
            <w:r>
              <w:rPr>
                <w:rFonts w:ascii="宋体" w:eastAsia="宋体" w:hAnsi="宋体" w:cs="宋体" w:hint="eastAsia"/>
                <w:sz w:val="18"/>
                <w:szCs w:val="18"/>
                <w:lang w:eastAsia="zh-CN"/>
              </w:rPr>
              <w:t>放及时</w:t>
            </w:r>
            <w:proofErr w:type="gramEnd"/>
            <w:r>
              <w:rPr>
                <w:rFonts w:ascii="宋体" w:eastAsia="宋体" w:hAnsi="宋体" w:cs="宋体" w:hint="eastAsia"/>
                <w:sz w:val="18"/>
                <w:szCs w:val="18"/>
                <w:lang w:eastAsia="zh-CN"/>
              </w:rPr>
              <w:t>率100%，有效减轻贫困家庭经济困难学生的经济负担，满足家庭经济困难学生基本生活需要，各项国家资助政策按规定得到落实，教育公平显著提升。目标3：组织开展本校的教育科学科研和教育教学改革，全力推进教育实施；为提高教育教学水平，教师参加各类培训数量≥3次，教师培训合格率达100%，每学期参加教学质量分析会2次，各类考试完成及时率100%，</w:t>
            </w:r>
            <w:proofErr w:type="gramStart"/>
            <w:r>
              <w:rPr>
                <w:rFonts w:ascii="宋体" w:eastAsia="宋体" w:hAnsi="宋体" w:cs="宋体" w:hint="eastAsia"/>
                <w:sz w:val="18"/>
                <w:szCs w:val="18"/>
                <w:lang w:eastAsia="zh-CN"/>
              </w:rPr>
              <w:t>控辍保学</w:t>
            </w:r>
            <w:proofErr w:type="gramEnd"/>
            <w:r>
              <w:rPr>
                <w:rFonts w:ascii="宋体" w:eastAsia="宋体" w:hAnsi="宋体" w:cs="宋体" w:hint="eastAsia"/>
                <w:sz w:val="18"/>
                <w:szCs w:val="18"/>
                <w:lang w:eastAsia="zh-CN"/>
              </w:rPr>
              <w:t>率=0%。目标4：按照义务教育课程计划，开齐课程，开足课时，认真实施小学的教育教学管理，全面推进素质教育，全面提高教育教学质量；保障学校工作正常有序开展.目标5：保障学校各项工作圆满完成。</w:t>
            </w:r>
          </w:p>
        </w:tc>
        <w:tc>
          <w:tcPr>
            <w:tcW w:w="4547" w:type="dxa"/>
            <w:gridSpan w:val="4"/>
            <w:tcBorders>
              <w:top w:val="single" w:sz="4" w:space="0" w:color="auto"/>
              <w:left w:val="nil"/>
              <w:bottom w:val="single" w:sz="4" w:space="0" w:color="auto"/>
              <w:right w:val="single" w:sz="4" w:space="0" w:color="auto"/>
            </w:tcBorders>
          </w:tcPr>
          <w:p w14:paraId="34484C34" w14:textId="77777777" w:rsidR="00444275"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截止自评节点，本单位已完成资助学生人数186人，开展教师培训数量3次，组织教学质量分析会2次，各类培训及学习次数20次，促进了教育水平，推动了文化传承与交流、助力学生全面发展，增进了民族团结，营造了民族团结的良好氛围。</w:t>
            </w:r>
          </w:p>
        </w:tc>
        <w:tc>
          <w:tcPr>
            <w:tcW w:w="284" w:type="dxa"/>
            <w:tcBorders>
              <w:top w:val="nil"/>
              <w:left w:val="nil"/>
              <w:bottom w:val="nil"/>
              <w:right w:val="nil"/>
            </w:tcBorders>
            <w:noWrap/>
            <w:vAlign w:val="center"/>
          </w:tcPr>
          <w:p w14:paraId="54A04573" w14:textId="77777777" w:rsidR="00444275" w:rsidRDefault="00444275">
            <w:pPr>
              <w:rPr>
                <w:rFonts w:ascii="宋体" w:eastAsia="宋体" w:hAnsi="宋体" w:cs="宋体" w:hint="eastAsia"/>
                <w:sz w:val="18"/>
                <w:szCs w:val="18"/>
                <w:lang w:eastAsia="zh-CN"/>
              </w:rPr>
            </w:pPr>
          </w:p>
        </w:tc>
      </w:tr>
      <w:tr w:rsidR="00444275" w14:paraId="79F33971" w14:textId="77777777">
        <w:trPr>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2D4A7DD0" w14:textId="77777777" w:rsidR="00444275"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lastRenderedPageBreak/>
              <w:t>一级指标</w:t>
            </w:r>
            <w:proofErr w:type="spellEnd"/>
          </w:p>
        </w:tc>
        <w:tc>
          <w:tcPr>
            <w:tcW w:w="1417" w:type="dxa"/>
            <w:tcBorders>
              <w:top w:val="nil"/>
              <w:left w:val="nil"/>
              <w:bottom w:val="single" w:sz="4" w:space="0" w:color="auto"/>
              <w:right w:val="single" w:sz="4" w:space="0" w:color="auto"/>
            </w:tcBorders>
            <w:vAlign w:val="center"/>
          </w:tcPr>
          <w:p w14:paraId="1DC95407" w14:textId="77777777" w:rsidR="00444275"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二级指标</w:t>
            </w:r>
            <w:proofErr w:type="spellEnd"/>
          </w:p>
        </w:tc>
        <w:tc>
          <w:tcPr>
            <w:tcW w:w="1418" w:type="dxa"/>
            <w:tcBorders>
              <w:top w:val="nil"/>
              <w:left w:val="nil"/>
              <w:bottom w:val="single" w:sz="4" w:space="0" w:color="auto"/>
              <w:right w:val="single" w:sz="4" w:space="0" w:color="auto"/>
            </w:tcBorders>
            <w:vAlign w:val="center"/>
          </w:tcPr>
          <w:p w14:paraId="4FA9649D" w14:textId="77777777" w:rsidR="00444275"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三级指标</w:t>
            </w:r>
            <w:proofErr w:type="spellEnd"/>
          </w:p>
        </w:tc>
        <w:tc>
          <w:tcPr>
            <w:tcW w:w="1276" w:type="dxa"/>
            <w:tcBorders>
              <w:top w:val="nil"/>
              <w:left w:val="nil"/>
              <w:bottom w:val="single" w:sz="4" w:space="0" w:color="auto"/>
              <w:right w:val="single" w:sz="4" w:space="0" w:color="auto"/>
            </w:tcBorders>
            <w:vAlign w:val="center"/>
          </w:tcPr>
          <w:p w14:paraId="3085AD3C" w14:textId="77777777" w:rsidR="00444275"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预期指标值</w:t>
            </w:r>
            <w:proofErr w:type="spellEnd"/>
          </w:p>
        </w:tc>
        <w:tc>
          <w:tcPr>
            <w:tcW w:w="1842" w:type="dxa"/>
            <w:tcBorders>
              <w:top w:val="nil"/>
              <w:left w:val="nil"/>
              <w:bottom w:val="single" w:sz="4" w:space="0" w:color="auto"/>
              <w:right w:val="single" w:sz="4" w:space="0" w:color="auto"/>
            </w:tcBorders>
            <w:vAlign w:val="center"/>
          </w:tcPr>
          <w:p w14:paraId="1353943E" w14:textId="77777777" w:rsidR="00444275"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指标值设定依据</w:t>
            </w:r>
            <w:proofErr w:type="spellEnd"/>
          </w:p>
        </w:tc>
        <w:tc>
          <w:tcPr>
            <w:tcW w:w="993" w:type="dxa"/>
            <w:tcBorders>
              <w:top w:val="nil"/>
              <w:left w:val="nil"/>
              <w:bottom w:val="single" w:sz="4" w:space="0" w:color="auto"/>
              <w:right w:val="single" w:sz="4" w:space="0" w:color="auto"/>
            </w:tcBorders>
            <w:vAlign w:val="center"/>
          </w:tcPr>
          <w:p w14:paraId="086ABFE8" w14:textId="77777777" w:rsidR="00444275"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分值权重</w:t>
            </w:r>
            <w:proofErr w:type="spellEnd"/>
          </w:p>
        </w:tc>
        <w:tc>
          <w:tcPr>
            <w:tcW w:w="992" w:type="dxa"/>
            <w:tcBorders>
              <w:top w:val="nil"/>
              <w:left w:val="nil"/>
              <w:bottom w:val="single" w:sz="4" w:space="0" w:color="auto"/>
              <w:right w:val="single" w:sz="4" w:space="0" w:color="auto"/>
            </w:tcBorders>
            <w:vAlign w:val="center"/>
          </w:tcPr>
          <w:p w14:paraId="0250CF4C" w14:textId="77777777" w:rsidR="00444275"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实际完成指标值</w:t>
            </w:r>
            <w:proofErr w:type="spellEnd"/>
          </w:p>
        </w:tc>
        <w:tc>
          <w:tcPr>
            <w:tcW w:w="720" w:type="dxa"/>
            <w:tcBorders>
              <w:top w:val="nil"/>
              <w:left w:val="nil"/>
              <w:bottom w:val="single" w:sz="4" w:space="0" w:color="auto"/>
              <w:right w:val="single" w:sz="4" w:space="0" w:color="auto"/>
            </w:tcBorders>
            <w:vAlign w:val="center"/>
          </w:tcPr>
          <w:p w14:paraId="712D49EF" w14:textId="77777777" w:rsidR="00444275"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得分</w:t>
            </w:r>
            <w:proofErr w:type="spellEnd"/>
          </w:p>
        </w:tc>
        <w:tc>
          <w:tcPr>
            <w:tcW w:w="284" w:type="dxa"/>
            <w:tcBorders>
              <w:top w:val="nil"/>
              <w:left w:val="nil"/>
              <w:bottom w:val="nil"/>
              <w:right w:val="nil"/>
            </w:tcBorders>
            <w:noWrap/>
            <w:vAlign w:val="center"/>
          </w:tcPr>
          <w:p w14:paraId="717A3FEC" w14:textId="77777777" w:rsidR="00444275" w:rsidRDefault="00444275">
            <w:pPr>
              <w:rPr>
                <w:rFonts w:ascii="宋体" w:eastAsia="宋体" w:hAnsi="宋体" w:cs="宋体" w:hint="eastAsia"/>
                <w:b/>
                <w:bCs/>
                <w:sz w:val="18"/>
                <w:szCs w:val="18"/>
              </w:rPr>
            </w:pPr>
          </w:p>
        </w:tc>
      </w:tr>
      <w:tr w:rsidR="00444275" w14:paraId="7339F1B8" w14:textId="77777777">
        <w:trPr>
          <w:trHeight w:val="740"/>
        </w:trPr>
        <w:tc>
          <w:tcPr>
            <w:tcW w:w="993" w:type="dxa"/>
            <w:vMerge w:val="restart"/>
            <w:tcBorders>
              <w:top w:val="single" w:sz="4" w:space="0" w:color="auto"/>
              <w:left w:val="single" w:sz="4" w:space="0" w:color="auto"/>
              <w:right w:val="single" w:sz="4" w:space="0" w:color="auto"/>
            </w:tcBorders>
            <w:noWrap/>
            <w:vAlign w:val="center"/>
          </w:tcPr>
          <w:p w14:paraId="02EF95DF" w14:textId="77777777" w:rsidR="00444275"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管理效率</w:t>
            </w:r>
            <w:proofErr w:type="spellEnd"/>
          </w:p>
        </w:tc>
        <w:tc>
          <w:tcPr>
            <w:tcW w:w="1417" w:type="dxa"/>
            <w:vMerge w:val="restart"/>
            <w:tcBorders>
              <w:top w:val="nil"/>
              <w:left w:val="nil"/>
              <w:right w:val="single" w:sz="4" w:space="0" w:color="auto"/>
            </w:tcBorders>
            <w:noWrap/>
            <w:vAlign w:val="center"/>
          </w:tcPr>
          <w:p w14:paraId="3C553C31" w14:textId="77777777" w:rsidR="00444275"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数量指标</w:t>
            </w:r>
            <w:proofErr w:type="spellEnd"/>
          </w:p>
        </w:tc>
        <w:tc>
          <w:tcPr>
            <w:tcW w:w="1418" w:type="dxa"/>
            <w:tcBorders>
              <w:top w:val="nil"/>
              <w:left w:val="nil"/>
              <w:bottom w:val="single" w:sz="4" w:space="0" w:color="auto"/>
              <w:right w:val="single" w:sz="4" w:space="0" w:color="auto"/>
            </w:tcBorders>
            <w:noWrap/>
            <w:vAlign w:val="center"/>
          </w:tcPr>
          <w:p w14:paraId="2CF2F5C7" w14:textId="77777777" w:rsidR="00444275"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资助学生人数</w:t>
            </w:r>
            <w:proofErr w:type="spellEnd"/>
          </w:p>
        </w:tc>
        <w:tc>
          <w:tcPr>
            <w:tcW w:w="1276" w:type="dxa"/>
            <w:tcBorders>
              <w:top w:val="nil"/>
              <w:left w:val="nil"/>
              <w:bottom w:val="single" w:sz="4" w:space="0" w:color="auto"/>
              <w:right w:val="single" w:sz="4" w:space="0" w:color="auto"/>
            </w:tcBorders>
            <w:noWrap/>
            <w:vAlign w:val="center"/>
          </w:tcPr>
          <w:p w14:paraId="7FCB92D4" w14:textId="77777777" w:rsidR="00444275" w:rsidRDefault="00000000">
            <w:pPr>
              <w:jc w:val="center"/>
              <w:rPr>
                <w:rFonts w:ascii="宋体" w:eastAsia="宋体" w:hAnsi="宋体" w:cs="宋体" w:hint="eastAsia"/>
                <w:sz w:val="18"/>
                <w:szCs w:val="18"/>
              </w:rPr>
            </w:pPr>
            <w:r>
              <w:rPr>
                <w:rFonts w:ascii="宋体" w:eastAsia="宋体" w:hAnsi="宋体" w:cs="宋体" w:hint="eastAsia"/>
                <w:sz w:val="18"/>
                <w:szCs w:val="18"/>
              </w:rPr>
              <w:t>&gt;=186人</w:t>
            </w:r>
          </w:p>
        </w:tc>
        <w:tc>
          <w:tcPr>
            <w:tcW w:w="1842" w:type="dxa"/>
            <w:tcBorders>
              <w:top w:val="nil"/>
              <w:left w:val="nil"/>
              <w:bottom w:val="single" w:sz="4" w:space="0" w:color="auto"/>
              <w:right w:val="single" w:sz="4" w:space="0" w:color="auto"/>
            </w:tcBorders>
            <w:noWrap/>
            <w:vAlign w:val="center"/>
          </w:tcPr>
          <w:p w14:paraId="3FCCD06B" w14:textId="77777777" w:rsidR="00444275"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木垒哈萨克自治县第一小学2024年工作计划</w:t>
            </w:r>
          </w:p>
        </w:tc>
        <w:tc>
          <w:tcPr>
            <w:tcW w:w="993" w:type="dxa"/>
            <w:tcBorders>
              <w:top w:val="nil"/>
              <w:left w:val="nil"/>
              <w:bottom w:val="single" w:sz="4" w:space="0" w:color="auto"/>
              <w:right w:val="single" w:sz="4" w:space="0" w:color="auto"/>
            </w:tcBorders>
            <w:noWrap/>
            <w:vAlign w:val="center"/>
          </w:tcPr>
          <w:p w14:paraId="2F646706" w14:textId="77777777" w:rsidR="00444275" w:rsidRDefault="00000000">
            <w:pPr>
              <w:jc w:val="center"/>
              <w:rPr>
                <w:rFonts w:ascii="宋体" w:eastAsia="宋体" w:hAnsi="宋体" w:cs="宋体" w:hint="eastAsia"/>
                <w:sz w:val="18"/>
                <w:szCs w:val="18"/>
              </w:rPr>
            </w:pPr>
            <w:r>
              <w:rPr>
                <w:rFonts w:ascii="宋体" w:eastAsia="宋体" w:hAnsi="宋体" w:cs="宋体" w:hint="eastAsia"/>
                <w:sz w:val="18"/>
                <w:szCs w:val="18"/>
              </w:rPr>
              <w:t>20</w:t>
            </w:r>
          </w:p>
        </w:tc>
        <w:tc>
          <w:tcPr>
            <w:tcW w:w="992" w:type="dxa"/>
            <w:tcBorders>
              <w:top w:val="nil"/>
              <w:left w:val="nil"/>
              <w:bottom w:val="single" w:sz="4" w:space="0" w:color="auto"/>
              <w:right w:val="single" w:sz="4" w:space="0" w:color="auto"/>
            </w:tcBorders>
            <w:noWrap/>
            <w:vAlign w:val="center"/>
          </w:tcPr>
          <w:p w14:paraId="39D115F7" w14:textId="77777777" w:rsidR="00444275" w:rsidRDefault="00000000">
            <w:pPr>
              <w:jc w:val="center"/>
              <w:rPr>
                <w:rFonts w:ascii="宋体" w:eastAsia="宋体" w:hAnsi="宋体" w:cs="宋体" w:hint="eastAsia"/>
                <w:sz w:val="18"/>
                <w:szCs w:val="18"/>
              </w:rPr>
            </w:pPr>
            <w:r>
              <w:rPr>
                <w:rFonts w:ascii="宋体" w:eastAsia="宋体" w:hAnsi="宋体" w:cs="宋体" w:hint="eastAsia"/>
                <w:sz w:val="18"/>
                <w:szCs w:val="18"/>
              </w:rPr>
              <w:t>186人</w:t>
            </w:r>
          </w:p>
        </w:tc>
        <w:tc>
          <w:tcPr>
            <w:tcW w:w="720" w:type="dxa"/>
            <w:tcBorders>
              <w:top w:val="nil"/>
              <w:left w:val="nil"/>
              <w:bottom w:val="single" w:sz="4" w:space="0" w:color="auto"/>
              <w:right w:val="single" w:sz="4" w:space="0" w:color="auto"/>
            </w:tcBorders>
            <w:noWrap/>
            <w:vAlign w:val="center"/>
          </w:tcPr>
          <w:p w14:paraId="254474D5" w14:textId="77777777" w:rsidR="00444275" w:rsidRDefault="00000000">
            <w:pPr>
              <w:jc w:val="center"/>
              <w:rPr>
                <w:rFonts w:ascii="宋体" w:eastAsia="宋体" w:hAnsi="宋体" w:cs="宋体" w:hint="eastAsia"/>
                <w:sz w:val="18"/>
                <w:szCs w:val="18"/>
              </w:rPr>
            </w:pPr>
            <w:r>
              <w:rPr>
                <w:rFonts w:ascii="宋体" w:eastAsia="宋体" w:hAnsi="宋体" w:cs="宋体" w:hint="eastAsia"/>
                <w:sz w:val="18"/>
                <w:szCs w:val="18"/>
              </w:rPr>
              <w:t>20</w:t>
            </w:r>
          </w:p>
        </w:tc>
        <w:tc>
          <w:tcPr>
            <w:tcW w:w="284" w:type="dxa"/>
            <w:tcBorders>
              <w:top w:val="nil"/>
              <w:left w:val="nil"/>
              <w:bottom w:val="nil"/>
              <w:right w:val="nil"/>
            </w:tcBorders>
            <w:noWrap/>
            <w:vAlign w:val="center"/>
          </w:tcPr>
          <w:p w14:paraId="4E42C986" w14:textId="77777777" w:rsidR="00444275" w:rsidRDefault="00444275">
            <w:pPr>
              <w:jc w:val="center"/>
              <w:rPr>
                <w:rFonts w:ascii="宋体" w:eastAsia="宋体" w:hAnsi="宋体" w:cs="宋体" w:hint="eastAsia"/>
                <w:sz w:val="18"/>
                <w:szCs w:val="18"/>
              </w:rPr>
            </w:pPr>
          </w:p>
        </w:tc>
      </w:tr>
      <w:tr w:rsidR="00444275" w14:paraId="130BAABC" w14:textId="77777777">
        <w:trPr>
          <w:trHeight w:val="740"/>
        </w:trPr>
        <w:tc>
          <w:tcPr>
            <w:tcW w:w="993" w:type="dxa"/>
            <w:vMerge/>
            <w:tcBorders>
              <w:left w:val="single" w:sz="4" w:space="0" w:color="auto"/>
              <w:right w:val="single" w:sz="4" w:space="0" w:color="auto"/>
            </w:tcBorders>
            <w:noWrap/>
            <w:vAlign w:val="center"/>
          </w:tcPr>
          <w:p w14:paraId="10FB0A18" w14:textId="77777777" w:rsidR="00444275" w:rsidRDefault="00444275">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09BF0414" w14:textId="77777777" w:rsidR="00444275" w:rsidRDefault="00444275">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000C2014" w14:textId="77777777" w:rsidR="00444275"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开展教师培训数量</w:t>
            </w:r>
            <w:proofErr w:type="spellEnd"/>
          </w:p>
        </w:tc>
        <w:tc>
          <w:tcPr>
            <w:tcW w:w="1276" w:type="dxa"/>
            <w:tcBorders>
              <w:top w:val="nil"/>
              <w:left w:val="nil"/>
              <w:bottom w:val="single" w:sz="4" w:space="0" w:color="auto"/>
              <w:right w:val="single" w:sz="4" w:space="0" w:color="auto"/>
            </w:tcBorders>
            <w:noWrap/>
            <w:vAlign w:val="center"/>
          </w:tcPr>
          <w:p w14:paraId="6C374434" w14:textId="77777777" w:rsidR="00444275" w:rsidRDefault="00000000">
            <w:pPr>
              <w:jc w:val="center"/>
              <w:rPr>
                <w:rFonts w:ascii="宋体" w:eastAsia="宋体" w:hAnsi="宋体" w:cs="宋体" w:hint="eastAsia"/>
                <w:sz w:val="18"/>
                <w:szCs w:val="18"/>
              </w:rPr>
            </w:pPr>
            <w:r>
              <w:rPr>
                <w:rFonts w:ascii="宋体" w:eastAsia="宋体" w:hAnsi="宋体" w:cs="宋体" w:hint="eastAsia"/>
                <w:sz w:val="18"/>
                <w:szCs w:val="18"/>
              </w:rPr>
              <w:t>&gt;=3次</w:t>
            </w:r>
          </w:p>
        </w:tc>
        <w:tc>
          <w:tcPr>
            <w:tcW w:w="1842" w:type="dxa"/>
            <w:tcBorders>
              <w:top w:val="nil"/>
              <w:left w:val="nil"/>
              <w:bottom w:val="single" w:sz="4" w:space="0" w:color="auto"/>
              <w:right w:val="single" w:sz="4" w:space="0" w:color="auto"/>
            </w:tcBorders>
            <w:noWrap/>
            <w:vAlign w:val="center"/>
          </w:tcPr>
          <w:p w14:paraId="1F406DCA" w14:textId="77777777" w:rsidR="00444275"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木垒哈萨克自治县第一小学2024年工作计划</w:t>
            </w:r>
          </w:p>
        </w:tc>
        <w:tc>
          <w:tcPr>
            <w:tcW w:w="993" w:type="dxa"/>
            <w:tcBorders>
              <w:top w:val="nil"/>
              <w:left w:val="nil"/>
              <w:bottom w:val="single" w:sz="4" w:space="0" w:color="auto"/>
              <w:right w:val="single" w:sz="4" w:space="0" w:color="auto"/>
            </w:tcBorders>
            <w:noWrap/>
            <w:vAlign w:val="center"/>
          </w:tcPr>
          <w:p w14:paraId="05C0990E" w14:textId="77777777" w:rsidR="00444275"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992" w:type="dxa"/>
            <w:tcBorders>
              <w:top w:val="nil"/>
              <w:left w:val="nil"/>
              <w:bottom w:val="single" w:sz="4" w:space="0" w:color="auto"/>
              <w:right w:val="single" w:sz="4" w:space="0" w:color="auto"/>
            </w:tcBorders>
            <w:noWrap/>
            <w:vAlign w:val="center"/>
          </w:tcPr>
          <w:p w14:paraId="48BC6A2E" w14:textId="77777777" w:rsidR="00444275" w:rsidRDefault="00000000">
            <w:pPr>
              <w:jc w:val="center"/>
              <w:rPr>
                <w:rFonts w:ascii="宋体" w:eastAsia="宋体" w:hAnsi="宋体" w:cs="宋体" w:hint="eastAsia"/>
                <w:sz w:val="18"/>
                <w:szCs w:val="18"/>
              </w:rPr>
            </w:pPr>
            <w:r>
              <w:rPr>
                <w:rFonts w:ascii="宋体" w:eastAsia="宋体" w:hAnsi="宋体" w:cs="宋体" w:hint="eastAsia"/>
                <w:sz w:val="18"/>
                <w:szCs w:val="18"/>
              </w:rPr>
              <w:t>3次</w:t>
            </w:r>
          </w:p>
        </w:tc>
        <w:tc>
          <w:tcPr>
            <w:tcW w:w="720" w:type="dxa"/>
            <w:tcBorders>
              <w:top w:val="nil"/>
              <w:left w:val="nil"/>
              <w:bottom w:val="single" w:sz="4" w:space="0" w:color="auto"/>
              <w:right w:val="single" w:sz="4" w:space="0" w:color="auto"/>
            </w:tcBorders>
            <w:noWrap/>
            <w:vAlign w:val="center"/>
          </w:tcPr>
          <w:p w14:paraId="7F42341C" w14:textId="77777777" w:rsidR="00444275"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284" w:type="dxa"/>
            <w:tcBorders>
              <w:top w:val="nil"/>
              <w:left w:val="nil"/>
              <w:bottom w:val="nil"/>
              <w:right w:val="nil"/>
            </w:tcBorders>
            <w:noWrap/>
            <w:vAlign w:val="center"/>
          </w:tcPr>
          <w:p w14:paraId="29D6085D" w14:textId="77777777" w:rsidR="00444275" w:rsidRDefault="00444275">
            <w:pPr>
              <w:jc w:val="center"/>
              <w:rPr>
                <w:rFonts w:ascii="宋体" w:eastAsia="宋体" w:hAnsi="宋体" w:cs="宋体" w:hint="eastAsia"/>
                <w:sz w:val="18"/>
                <w:szCs w:val="18"/>
              </w:rPr>
            </w:pPr>
          </w:p>
        </w:tc>
      </w:tr>
      <w:tr w:rsidR="00444275" w14:paraId="09E2591A" w14:textId="77777777">
        <w:trPr>
          <w:trHeight w:val="740"/>
        </w:trPr>
        <w:tc>
          <w:tcPr>
            <w:tcW w:w="993" w:type="dxa"/>
            <w:vMerge/>
            <w:tcBorders>
              <w:left w:val="single" w:sz="4" w:space="0" w:color="auto"/>
              <w:bottom w:val="single" w:sz="4" w:space="0" w:color="auto"/>
              <w:right w:val="single" w:sz="4" w:space="0" w:color="auto"/>
            </w:tcBorders>
            <w:noWrap/>
            <w:vAlign w:val="center"/>
          </w:tcPr>
          <w:p w14:paraId="41A1A4B2" w14:textId="77777777" w:rsidR="00444275" w:rsidRDefault="00444275">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7138158E" w14:textId="77777777" w:rsidR="00444275" w:rsidRDefault="00444275">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0F9FE113" w14:textId="77777777" w:rsidR="00444275"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组织教学质量分析会</w:t>
            </w:r>
            <w:proofErr w:type="spellEnd"/>
          </w:p>
        </w:tc>
        <w:tc>
          <w:tcPr>
            <w:tcW w:w="1276" w:type="dxa"/>
            <w:tcBorders>
              <w:top w:val="nil"/>
              <w:left w:val="nil"/>
              <w:bottom w:val="single" w:sz="4" w:space="0" w:color="auto"/>
              <w:right w:val="single" w:sz="4" w:space="0" w:color="auto"/>
            </w:tcBorders>
            <w:noWrap/>
            <w:vAlign w:val="center"/>
          </w:tcPr>
          <w:p w14:paraId="038A4C61" w14:textId="77777777" w:rsidR="00444275" w:rsidRDefault="00000000">
            <w:pPr>
              <w:jc w:val="center"/>
              <w:rPr>
                <w:rFonts w:ascii="宋体" w:eastAsia="宋体" w:hAnsi="宋体" w:cs="宋体" w:hint="eastAsia"/>
                <w:sz w:val="18"/>
                <w:szCs w:val="18"/>
              </w:rPr>
            </w:pPr>
            <w:r>
              <w:rPr>
                <w:rFonts w:ascii="宋体" w:eastAsia="宋体" w:hAnsi="宋体" w:cs="宋体" w:hint="eastAsia"/>
                <w:sz w:val="18"/>
                <w:szCs w:val="18"/>
              </w:rPr>
              <w:t>&gt;=2次</w:t>
            </w:r>
          </w:p>
        </w:tc>
        <w:tc>
          <w:tcPr>
            <w:tcW w:w="1842" w:type="dxa"/>
            <w:tcBorders>
              <w:top w:val="nil"/>
              <w:left w:val="nil"/>
              <w:bottom w:val="single" w:sz="4" w:space="0" w:color="auto"/>
              <w:right w:val="single" w:sz="4" w:space="0" w:color="auto"/>
            </w:tcBorders>
            <w:noWrap/>
            <w:vAlign w:val="center"/>
          </w:tcPr>
          <w:p w14:paraId="6BA0DABC" w14:textId="77777777" w:rsidR="00444275"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木垒哈萨克自治县第一小学2024年工作计划</w:t>
            </w:r>
          </w:p>
        </w:tc>
        <w:tc>
          <w:tcPr>
            <w:tcW w:w="993" w:type="dxa"/>
            <w:tcBorders>
              <w:top w:val="nil"/>
              <w:left w:val="nil"/>
              <w:bottom w:val="single" w:sz="4" w:space="0" w:color="auto"/>
              <w:right w:val="single" w:sz="4" w:space="0" w:color="auto"/>
            </w:tcBorders>
            <w:noWrap/>
            <w:vAlign w:val="center"/>
          </w:tcPr>
          <w:p w14:paraId="14F452AA" w14:textId="77777777" w:rsidR="00444275" w:rsidRDefault="00000000">
            <w:pPr>
              <w:jc w:val="center"/>
              <w:rPr>
                <w:rFonts w:ascii="宋体" w:eastAsia="宋体" w:hAnsi="宋体" w:cs="宋体" w:hint="eastAsia"/>
                <w:sz w:val="18"/>
                <w:szCs w:val="18"/>
              </w:rPr>
            </w:pPr>
            <w:r>
              <w:rPr>
                <w:rFonts w:ascii="宋体" w:eastAsia="宋体" w:hAnsi="宋体" w:cs="宋体" w:hint="eastAsia"/>
                <w:sz w:val="18"/>
                <w:szCs w:val="18"/>
              </w:rPr>
              <w:t>20</w:t>
            </w:r>
          </w:p>
        </w:tc>
        <w:tc>
          <w:tcPr>
            <w:tcW w:w="992" w:type="dxa"/>
            <w:tcBorders>
              <w:top w:val="nil"/>
              <w:left w:val="nil"/>
              <w:bottom w:val="single" w:sz="4" w:space="0" w:color="auto"/>
              <w:right w:val="single" w:sz="4" w:space="0" w:color="auto"/>
            </w:tcBorders>
            <w:noWrap/>
            <w:vAlign w:val="center"/>
          </w:tcPr>
          <w:p w14:paraId="7C13FAAD" w14:textId="77777777" w:rsidR="00444275" w:rsidRDefault="00000000">
            <w:pPr>
              <w:jc w:val="center"/>
              <w:rPr>
                <w:rFonts w:ascii="宋体" w:eastAsia="宋体" w:hAnsi="宋体" w:cs="宋体" w:hint="eastAsia"/>
                <w:sz w:val="18"/>
                <w:szCs w:val="18"/>
              </w:rPr>
            </w:pPr>
            <w:r>
              <w:rPr>
                <w:rFonts w:ascii="宋体" w:eastAsia="宋体" w:hAnsi="宋体" w:cs="宋体" w:hint="eastAsia"/>
                <w:sz w:val="18"/>
                <w:szCs w:val="18"/>
              </w:rPr>
              <w:t>2次</w:t>
            </w:r>
          </w:p>
        </w:tc>
        <w:tc>
          <w:tcPr>
            <w:tcW w:w="720" w:type="dxa"/>
            <w:tcBorders>
              <w:top w:val="nil"/>
              <w:left w:val="nil"/>
              <w:bottom w:val="single" w:sz="4" w:space="0" w:color="auto"/>
              <w:right w:val="single" w:sz="4" w:space="0" w:color="auto"/>
            </w:tcBorders>
            <w:noWrap/>
            <w:vAlign w:val="center"/>
          </w:tcPr>
          <w:p w14:paraId="2584C486" w14:textId="77777777" w:rsidR="00444275" w:rsidRDefault="00000000">
            <w:pPr>
              <w:jc w:val="center"/>
              <w:rPr>
                <w:rFonts w:ascii="宋体" w:eastAsia="宋体" w:hAnsi="宋体" w:cs="宋体" w:hint="eastAsia"/>
                <w:sz w:val="18"/>
                <w:szCs w:val="18"/>
              </w:rPr>
            </w:pPr>
            <w:r>
              <w:rPr>
                <w:rFonts w:ascii="宋体" w:eastAsia="宋体" w:hAnsi="宋体" w:cs="宋体" w:hint="eastAsia"/>
                <w:sz w:val="18"/>
                <w:szCs w:val="18"/>
              </w:rPr>
              <w:t>20</w:t>
            </w:r>
          </w:p>
        </w:tc>
        <w:tc>
          <w:tcPr>
            <w:tcW w:w="284" w:type="dxa"/>
            <w:tcBorders>
              <w:top w:val="nil"/>
              <w:left w:val="nil"/>
              <w:bottom w:val="nil"/>
              <w:right w:val="nil"/>
            </w:tcBorders>
            <w:noWrap/>
            <w:vAlign w:val="center"/>
          </w:tcPr>
          <w:p w14:paraId="7173FDF3" w14:textId="77777777" w:rsidR="00444275" w:rsidRDefault="00444275">
            <w:pPr>
              <w:jc w:val="center"/>
              <w:rPr>
                <w:rFonts w:ascii="宋体" w:eastAsia="宋体" w:hAnsi="宋体" w:cs="宋体" w:hint="eastAsia"/>
                <w:sz w:val="18"/>
                <w:szCs w:val="18"/>
              </w:rPr>
            </w:pPr>
          </w:p>
        </w:tc>
      </w:tr>
      <w:tr w:rsidR="00444275" w14:paraId="0B6D1D46" w14:textId="77777777">
        <w:trPr>
          <w:trHeight w:val="740"/>
        </w:trPr>
        <w:tc>
          <w:tcPr>
            <w:tcW w:w="993" w:type="dxa"/>
            <w:vMerge w:val="restart"/>
            <w:tcBorders>
              <w:top w:val="single" w:sz="4" w:space="0" w:color="auto"/>
              <w:left w:val="single" w:sz="4" w:space="0" w:color="auto"/>
              <w:right w:val="single" w:sz="4" w:space="0" w:color="auto"/>
            </w:tcBorders>
            <w:noWrap/>
            <w:vAlign w:val="center"/>
          </w:tcPr>
          <w:p w14:paraId="4B80FDCE" w14:textId="77777777" w:rsidR="00444275"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履职效能</w:t>
            </w:r>
            <w:proofErr w:type="spellEnd"/>
          </w:p>
        </w:tc>
        <w:tc>
          <w:tcPr>
            <w:tcW w:w="1417" w:type="dxa"/>
            <w:vMerge/>
            <w:tcBorders>
              <w:left w:val="nil"/>
              <w:right w:val="single" w:sz="4" w:space="0" w:color="auto"/>
            </w:tcBorders>
            <w:noWrap/>
            <w:vAlign w:val="center"/>
          </w:tcPr>
          <w:p w14:paraId="2E95ACFE" w14:textId="77777777" w:rsidR="00444275" w:rsidRDefault="00444275">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3F1A47FE" w14:textId="77777777" w:rsidR="00444275"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各类培训及学习次数</w:t>
            </w:r>
            <w:proofErr w:type="spellEnd"/>
          </w:p>
        </w:tc>
        <w:tc>
          <w:tcPr>
            <w:tcW w:w="1276" w:type="dxa"/>
            <w:tcBorders>
              <w:top w:val="nil"/>
              <w:left w:val="nil"/>
              <w:bottom w:val="single" w:sz="4" w:space="0" w:color="auto"/>
              <w:right w:val="single" w:sz="4" w:space="0" w:color="auto"/>
            </w:tcBorders>
            <w:noWrap/>
            <w:vAlign w:val="center"/>
          </w:tcPr>
          <w:p w14:paraId="6E48AC32" w14:textId="77777777" w:rsidR="00444275" w:rsidRDefault="00000000">
            <w:pPr>
              <w:jc w:val="center"/>
              <w:rPr>
                <w:rFonts w:ascii="宋体" w:eastAsia="宋体" w:hAnsi="宋体" w:cs="宋体" w:hint="eastAsia"/>
                <w:sz w:val="18"/>
                <w:szCs w:val="18"/>
              </w:rPr>
            </w:pPr>
            <w:r>
              <w:rPr>
                <w:rFonts w:ascii="宋体" w:eastAsia="宋体" w:hAnsi="宋体" w:cs="宋体" w:hint="eastAsia"/>
                <w:sz w:val="18"/>
                <w:szCs w:val="18"/>
              </w:rPr>
              <w:t>&gt;=20次</w:t>
            </w:r>
          </w:p>
        </w:tc>
        <w:tc>
          <w:tcPr>
            <w:tcW w:w="1842" w:type="dxa"/>
            <w:tcBorders>
              <w:top w:val="nil"/>
              <w:left w:val="nil"/>
              <w:bottom w:val="single" w:sz="4" w:space="0" w:color="auto"/>
              <w:right w:val="single" w:sz="4" w:space="0" w:color="auto"/>
            </w:tcBorders>
            <w:noWrap/>
            <w:vAlign w:val="center"/>
          </w:tcPr>
          <w:p w14:paraId="7502DA98" w14:textId="77777777" w:rsidR="00444275"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木垒哈萨克自治县第一小学2024年工作计划</w:t>
            </w:r>
          </w:p>
        </w:tc>
        <w:tc>
          <w:tcPr>
            <w:tcW w:w="993" w:type="dxa"/>
            <w:tcBorders>
              <w:top w:val="nil"/>
              <w:left w:val="nil"/>
              <w:bottom w:val="single" w:sz="4" w:space="0" w:color="auto"/>
              <w:right w:val="single" w:sz="4" w:space="0" w:color="auto"/>
            </w:tcBorders>
            <w:noWrap/>
            <w:vAlign w:val="center"/>
          </w:tcPr>
          <w:p w14:paraId="0988F0BC" w14:textId="77777777" w:rsidR="00444275"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992" w:type="dxa"/>
            <w:tcBorders>
              <w:top w:val="nil"/>
              <w:left w:val="nil"/>
              <w:bottom w:val="single" w:sz="4" w:space="0" w:color="auto"/>
              <w:right w:val="single" w:sz="4" w:space="0" w:color="auto"/>
            </w:tcBorders>
            <w:noWrap/>
            <w:vAlign w:val="center"/>
          </w:tcPr>
          <w:p w14:paraId="658804FB" w14:textId="77777777" w:rsidR="00444275" w:rsidRDefault="00000000">
            <w:pPr>
              <w:jc w:val="center"/>
              <w:rPr>
                <w:rFonts w:ascii="宋体" w:eastAsia="宋体" w:hAnsi="宋体" w:cs="宋体" w:hint="eastAsia"/>
                <w:sz w:val="18"/>
                <w:szCs w:val="18"/>
              </w:rPr>
            </w:pPr>
            <w:r>
              <w:rPr>
                <w:rFonts w:ascii="宋体" w:eastAsia="宋体" w:hAnsi="宋体" w:cs="宋体" w:hint="eastAsia"/>
                <w:sz w:val="18"/>
                <w:szCs w:val="18"/>
              </w:rPr>
              <w:t>20次</w:t>
            </w:r>
          </w:p>
        </w:tc>
        <w:tc>
          <w:tcPr>
            <w:tcW w:w="720" w:type="dxa"/>
            <w:tcBorders>
              <w:top w:val="nil"/>
              <w:left w:val="nil"/>
              <w:bottom w:val="single" w:sz="4" w:space="0" w:color="auto"/>
              <w:right w:val="single" w:sz="4" w:space="0" w:color="auto"/>
            </w:tcBorders>
            <w:noWrap/>
            <w:vAlign w:val="center"/>
          </w:tcPr>
          <w:p w14:paraId="2E34033A" w14:textId="77777777" w:rsidR="00444275"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284" w:type="dxa"/>
            <w:tcBorders>
              <w:top w:val="nil"/>
              <w:left w:val="nil"/>
              <w:bottom w:val="nil"/>
              <w:right w:val="nil"/>
            </w:tcBorders>
            <w:noWrap/>
            <w:vAlign w:val="center"/>
          </w:tcPr>
          <w:p w14:paraId="1C6C8D15" w14:textId="77777777" w:rsidR="00444275" w:rsidRDefault="00444275">
            <w:pPr>
              <w:jc w:val="center"/>
              <w:rPr>
                <w:rFonts w:ascii="宋体" w:eastAsia="宋体" w:hAnsi="宋体" w:cs="宋体" w:hint="eastAsia"/>
                <w:sz w:val="18"/>
                <w:szCs w:val="18"/>
              </w:rPr>
            </w:pPr>
          </w:p>
        </w:tc>
      </w:tr>
      <w:tr w:rsidR="00444275" w14:paraId="76DFEAB6" w14:textId="77777777">
        <w:trPr>
          <w:trHeight w:val="740"/>
        </w:trPr>
        <w:tc>
          <w:tcPr>
            <w:tcW w:w="993" w:type="dxa"/>
            <w:vMerge/>
            <w:tcBorders>
              <w:left w:val="single" w:sz="4" w:space="0" w:color="auto"/>
              <w:right w:val="single" w:sz="4" w:space="0" w:color="auto"/>
            </w:tcBorders>
            <w:noWrap/>
            <w:vAlign w:val="center"/>
          </w:tcPr>
          <w:p w14:paraId="7408B435" w14:textId="77777777" w:rsidR="00444275" w:rsidRDefault="00444275">
            <w:pPr>
              <w:jc w:val="center"/>
              <w:rPr>
                <w:rFonts w:ascii="宋体" w:eastAsia="宋体" w:hAnsi="宋体" w:cs="宋体" w:hint="eastAsia"/>
                <w:sz w:val="18"/>
                <w:szCs w:val="18"/>
              </w:rPr>
            </w:pPr>
          </w:p>
        </w:tc>
        <w:tc>
          <w:tcPr>
            <w:tcW w:w="1417" w:type="dxa"/>
            <w:vMerge/>
            <w:tcBorders>
              <w:left w:val="nil"/>
              <w:bottom w:val="single" w:sz="4" w:space="0" w:color="auto"/>
              <w:right w:val="single" w:sz="4" w:space="0" w:color="auto"/>
            </w:tcBorders>
            <w:noWrap/>
            <w:vAlign w:val="center"/>
          </w:tcPr>
          <w:p w14:paraId="0CF654C9" w14:textId="77777777" w:rsidR="00444275" w:rsidRDefault="00444275">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611F5C7D" w14:textId="77777777" w:rsidR="00444275"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义务教育学生入学率</w:t>
            </w:r>
            <w:proofErr w:type="spellEnd"/>
          </w:p>
        </w:tc>
        <w:tc>
          <w:tcPr>
            <w:tcW w:w="1276" w:type="dxa"/>
            <w:tcBorders>
              <w:top w:val="nil"/>
              <w:left w:val="nil"/>
              <w:bottom w:val="single" w:sz="4" w:space="0" w:color="auto"/>
              <w:right w:val="single" w:sz="4" w:space="0" w:color="auto"/>
            </w:tcBorders>
            <w:noWrap/>
            <w:vAlign w:val="center"/>
          </w:tcPr>
          <w:p w14:paraId="0B2C0D77" w14:textId="77777777" w:rsidR="00444275" w:rsidRDefault="00000000">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1842" w:type="dxa"/>
            <w:tcBorders>
              <w:top w:val="nil"/>
              <w:left w:val="nil"/>
              <w:bottom w:val="single" w:sz="4" w:space="0" w:color="auto"/>
              <w:right w:val="single" w:sz="4" w:space="0" w:color="auto"/>
            </w:tcBorders>
            <w:noWrap/>
            <w:vAlign w:val="center"/>
          </w:tcPr>
          <w:p w14:paraId="340D50D8" w14:textId="77777777" w:rsidR="00444275"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木垒哈萨克自治县第一小学2024年工作计划</w:t>
            </w:r>
          </w:p>
        </w:tc>
        <w:tc>
          <w:tcPr>
            <w:tcW w:w="993" w:type="dxa"/>
            <w:tcBorders>
              <w:top w:val="nil"/>
              <w:left w:val="nil"/>
              <w:bottom w:val="single" w:sz="4" w:space="0" w:color="auto"/>
              <w:right w:val="single" w:sz="4" w:space="0" w:color="auto"/>
            </w:tcBorders>
            <w:noWrap/>
            <w:vAlign w:val="center"/>
          </w:tcPr>
          <w:p w14:paraId="7DE3344C" w14:textId="77777777" w:rsidR="00444275"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c>
          <w:tcPr>
            <w:tcW w:w="992" w:type="dxa"/>
            <w:tcBorders>
              <w:top w:val="nil"/>
              <w:left w:val="nil"/>
              <w:bottom w:val="single" w:sz="4" w:space="0" w:color="auto"/>
              <w:right w:val="single" w:sz="4" w:space="0" w:color="auto"/>
            </w:tcBorders>
            <w:noWrap/>
            <w:vAlign w:val="center"/>
          </w:tcPr>
          <w:p w14:paraId="105A52E8" w14:textId="77777777" w:rsidR="00444275" w:rsidRDefault="00000000">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noWrap/>
            <w:vAlign w:val="center"/>
          </w:tcPr>
          <w:p w14:paraId="742B352B" w14:textId="77777777" w:rsidR="00444275"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c>
          <w:tcPr>
            <w:tcW w:w="284" w:type="dxa"/>
            <w:tcBorders>
              <w:top w:val="nil"/>
              <w:left w:val="nil"/>
              <w:bottom w:val="nil"/>
              <w:right w:val="nil"/>
            </w:tcBorders>
            <w:noWrap/>
            <w:vAlign w:val="center"/>
          </w:tcPr>
          <w:p w14:paraId="38A396E0" w14:textId="77777777" w:rsidR="00444275" w:rsidRDefault="00444275">
            <w:pPr>
              <w:jc w:val="center"/>
              <w:rPr>
                <w:rFonts w:ascii="宋体" w:eastAsia="宋体" w:hAnsi="宋体" w:cs="宋体" w:hint="eastAsia"/>
                <w:sz w:val="18"/>
                <w:szCs w:val="18"/>
              </w:rPr>
            </w:pPr>
          </w:p>
        </w:tc>
      </w:tr>
      <w:tr w:rsidR="00444275" w14:paraId="71AEE38B" w14:textId="77777777">
        <w:trPr>
          <w:trHeight w:val="740"/>
        </w:trPr>
        <w:tc>
          <w:tcPr>
            <w:tcW w:w="993" w:type="dxa"/>
            <w:vMerge/>
            <w:tcBorders>
              <w:left w:val="single" w:sz="4" w:space="0" w:color="auto"/>
              <w:bottom w:val="single" w:sz="4" w:space="0" w:color="auto"/>
              <w:right w:val="single" w:sz="4" w:space="0" w:color="auto"/>
            </w:tcBorders>
            <w:noWrap/>
            <w:vAlign w:val="center"/>
          </w:tcPr>
          <w:p w14:paraId="073C3212" w14:textId="77777777" w:rsidR="00444275" w:rsidRDefault="00444275">
            <w:pPr>
              <w:jc w:val="center"/>
              <w:rPr>
                <w:rFonts w:ascii="宋体" w:eastAsia="宋体" w:hAnsi="宋体" w:cs="宋体" w:hint="eastAsia"/>
                <w:sz w:val="18"/>
                <w:szCs w:val="18"/>
              </w:rPr>
            </w:pPr>
          </w:p>
        </w:tc>
        <w:tc>
          <w:tcPr>
            <w:tcW w:w="1417" w:type="dxa"/>
            <w:tcBorders>
              <w:top w:val="nil"/>
              <w:left w:val="nil"/>
              <w:bottom w:val="single" w:sz="4" w:space="0" w:color="auto"/>
              <w:right w:val="single" w:sz="4" w:space="0" w:color="auto"/>
            </w:tcBorders>
            <w:noWrap/>
            <w:vAlign w:val="center"/>
          </w:tcPr>
          <w:p w14:paraId="2B598A06" w14:textId="77777777" w:rsidR="00444275"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质量指标</w:t>
            </w:r>
            <w:proofErr w:type="spellEnd"/>
          </w:p>
        </w:tc>
        <w:tc>
          <w:tcPr>
            <w:tcW w:w="1418" w:type="dxa"/>
            <w:tcBorders>
              <w:top w:val="nil"/>
              <w:left w:val="nil"/>
              <w:bottom w:val="single" w:sz="4" w:space="0" w:color="auto"/>
              <w:right w:val="single" w:sz="4" w:space="0" w:color="auto"/>
            </w:tcBorders>
            <w:noWrap/>
            <w:vAlign w:val="center"/>
          </w:tcPr>
          <w:p w14:paraId="2510C579" w14:textId="77777777" w:rsidR="00444275"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控辍保学率</w:t>
            </w:r>
            <w:proofErr w:type="spellEnd"/>
          </w:p>
        </w:tc>
        <w:tc>
          <w:tcPr>
            <w:tcW w:w="1276" w:type="dxa"/>
            <w:tcBorders>
              <w:top w:val="nil"/>
              <w:left w:val="nil"/>
              <w:bottom w:val="single" w:sz="4" w:space="0" w:color="auto"/>
              <w:right w:val="single" w:sz="4" w:space="0" w:color="auto"/>
            </w:tcBorders>
            <w:noWrap/>
            <w:vAlign w:val="center"/>
          </w:tcPr>
          <w:p w14:paraId="0F747CC4" w14:textId="77777777" w:rsidR="00444275" w:rsidRDefault="00000000">
            <w:pPr>
              <w:jc w:val="center"/>
              <w:rPr>
                <w:rFonts w:ascii="宋体" w:eastAsia="宋体" w:hAnsi="宋体" w:cs="宋体" w:hint="eastAsia"/>
                <w:sz w:val="18"/>
                <w:szCs w:val="18"/>
              </w:rPr>
            </w:pPr>
            <w:r>
              <w:rPr>
                <w:rFonts w:ascii="宋体" w:eastAsia="宋体" w:hAnsi="宋体" w:cs="宋体" w:hint="eastAsia"/>
                <w:sz w:val="18"/>
                <w:szCs w:val="18"/>
              </w:rPr>
              <w:t>=0%</w:t>
            </w:r>
          </w:p>
        </w:tc>
        <w:tc>
          <w:tcPr>
            <w:tcW w:w="1842" w:type="dxa"/>
            <w:tcBorders>
              <w:top w:val="nil"/>
              <w:left w:val="nil"/>
              <w:bottom w:val="single" w:sz="4" w:space="0" w:color="auto"/>
              <w:right w:val="single" w:sz="4" w:space="0" w:color="auto"/>
            </w:tcBorders>
            <w:noWrap/>
            <w:vAlign w:val="center"/>
          </w:tcPr>
          <w:p w14:paraId="02E31B76" w14:textId="77777777" w:rsidR="00444275"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木垒哈萨克自治县第一小学2024年工作计划</w:t>
            </w:r>
          </w:p>
        </w:tc>
        <w:tc>
          <w:tcPr>
            <w:tcW w:w="993" w:type="dxa"/>
            <w:tcBorders>
              <w:top w:val="nil"/>
              <w:left w:val="nil"/>
              <w:bottom w:val="single" w:sz="4" w:space="0" w:color="auto"/>
              <w:right w:val="single" w:sz="4" w:space="0" w:color="auto"/>
            </w:tcBorders>
            <w:noWrap/>
            <w:vAlign w:val="center"/>
          </w:tcPr>
          <w:p w14:paraId="5DA13071" w14:textId="77777777" w:rsidR="00444275"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c>
          <w:tcPr>
            <w:tcW w:w="992" w:type="dxa"/>
            <w:tcBorders>
              <w:top w:val="nil"/>
              <w:left w:val="nil"/>
              <w:bottom w:val="single" w:sz="4" w:space="0" w:color="auto"/>
              <w:right w:val="single" w:sz="4" w:space="0" w:color="auto"/>
            </w:tcBorders>
            <w:noWrap/>
            <w:vAlign w:val="center"/>
          </w:tcPr>
          <w:p w14:paraId="0BCC5033" w14:textId="77777777" w:rsidR="00444275" w:rsidRDefault="00000000">
            <w:pPr>
              <w:jc w:val="center"/>
              <w:rPr>
                <w:rFonts w:ascii="宋体" w:eastAsia="宋体" w:hAnsi="宋体" w:cs="宋体" w:hint="eastAsia"/>
                <w:sz w:val="18"/>
                <w:szCs w:val="18"/>
              </w:rPr>
            </w:pPr>
            <w:r>
              <w:rPr>
                <w:rFonts w:ascii="宋体" w:eastAsia="宋体" w:hAnsi="宋体" w:cs="宋体" w:hint="eastAsia"/>
                <w:sz w:val="18"/>
                <w:szCs w:val="18"/>
              </w:rPr>
              <w:t>0%</w:t>
            </w:r>
          </w:p>
        </w:tc>
        <w:tc>
          <w:tcPr>
            <w:tcW w:w="720" w:type="dxa"/>
            <w:tcBorders>
              <w:top w:val="nil"/>
              <w:left w:val="nil"/>
              <w:bottom w:val="single" w:sz="4" w:space="0" w:color="auto"/>
              <w:right w:val="single" w:sz="4" w:space="0" w:color="auto"/>
            </w:tcBorders>
            <w:noWrap/>
            <w:vAlign w:val="center"/>
          </w:tcPr>
          <w:p w14:paraId="382D6349" w14:textId="77777777" w:rsidR="00444275"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c>
          <w:tcPr>
            <w:tcW w:w="284" w:type="dxa"/>
            <w:tcBorders>
              <w:top w:val="nil"/>
              <w:left w:val="nil"/>
              <w:bottom w:val="nil"/>
              <w:right w:val="nil"/>
            </w:tcBorders>
            <w:noWrap/>
            <w:vAlign w:val="center"/>
          </w:tcPr>
          <w:p w14:paraId="4046A82F" w14:textId="77777777" w:rsidR="00444275" w:rsidRDefault="00444275">
            <w:pPr>
              <w:jc w:val="center"/>
              <w:rPr>
                <w:rFonts w:ascii="宋体" w:eastAsia="宋体" w:hAnsi="宋体" w:cs="宋体" w:hint="eastAsia"/>
                <w:sz w:val="18"/>
                <w:szCs w:val="18"/>
              </w:rPr>
            </w:pPr>
          </w:p>
        </w:tc>
      </w:tr>
      <w:bookmarkEnd w:id="9"/>
    </w:tbl>
    <w:p w14:paraId="5D5C4ED8" w14:textId="77777777" w:rsidR="00444275" w:rsidRDefault="00444275">
      <w:pPr>
        <w:spacing w:after="0" w:line="240" w:lineRule="auto"/>
        <w:ind w:firstLineChars="200" w:firstLine="640"/>
        <w:jc w:val="both"/>
        <w:rPr>
          <w:rFonts w:ascii="仿宋_GB2312" w:eastAsia="仿宋_GB2312" w:hint="eastAsia"/>
          <w:sz w:val="32"/>
          <w:szCs w:val="32"/>
          <w:lang w:eastAsia="zh-CN"/>
        </w:rPr>
      </w:pPr>
    </w:p>
    <w:p w14:paraId="39499E58" w14:textId="77777777" w:rsidR="00444275"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十二、其他需说明的事项</w:t>
      </w:r>
    </w:p>
    <w:p w14:paraId="584C62B2" w14:textId="77777777" w:rsidR="0044427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本单位无其他需说明事项。</w:t>
      </w:r>
    </w:p>
    <w:p w14:paraId="05732082" w14:textId="77777777" w:rsidR="00444275" w:rsidRDefault="00444275">
      <w:pPr>
        <w:spacing w:after="0" w:line="240" w:lineRule="auto"/>
        <w:ind w:firstLineChars="200" w:firstLine="640"/>
        <w:rPr>
          <w:rFonts w:ascii="仿宋_GB2312" w:eastAsia="仿宋_GB2312" w:hint="eastAsia"/>
          <w:sz w:val="32"/>
          <w:szCs w:val="32"/>
          <w:lang w:eastAsia="zh-CN"/>
        </w:rPr>
      </w:pPr>
    </w:p>
    <w:p w14:paraId="2CB2C689" w14:textId="77777777" w:rsidR="00444275" w:rsidRDefault="00000000">
      <w:pPr>
        <w:rPr>
          <w:rFonts w:hint="eastAsia"/>
          <w:lang w:eastAsia="zh-CN"/>
        </w:rPr>
      </w:pPr>
      <w:r>
        <w:rPr>
          <w:sz w:val="0"/>
          <w:szCs w:val="0"/>
          <w:lang w:eastAsia="zh-CN"/>
        </w:rPr>
        <w:br w:type="page"/>
      </w:r>
    </w:p>
    <w:p w14:paraId="61774F28" w14:textId="77777777" w:rsidR="00444275"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第三部分 专业名词解释</w:t>
      </w:r>
    </w:p>
    <w:p w14:paraId="3924A61F" w14:textId="77777777" w:rsidR="00444275"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4E05BF04" w14:textId="77777777" w:rsidR="00444275"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4D7DC86E" w14:textId="77777777" w:rsidR="00444275"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6D7F04D7" w14:textId="77777777" w:rsidR="00444275"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3CE9A6FD" w14:textId="77777777" w:rsidR="00444275"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6AB80D8D" w14:textId="77777777" w:rsidR="00444275"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31ECCBAA" w14:textId="77777777" w:rsidR="00444275"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644E12BF" w14:textId="77777777" w:rsidR="00444275"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23208FF" w14:textId="77777777" w:rsidR="00444275"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748FEFC8" w14:textId="77777777" w:rsidR="00444275"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50EEC0FE" w14:textId="77777777" w:rsidR="00444275"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726EBB7E" w14:textId="77777777" w:rsidR="00444275"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1D1BCE35" w14:textId="77777777" w:rsidR="00444275"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w:t>
      </w:r>
      <w:r>
        <w:rPr>
          <w:rFonts w:ascii="仿宋_GB2312" w:eastAsia="仿宋_GB2312"/>
          <w:sz w:val="32"/>
          <w:szCs w:val="32"/>
          <w:lang w:eastAsia="zh-CN"/>
        </w:rPr>
        <w:lastRenderedPageBreak/>
        <w:t>（境）</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单位公务出国（境）的国际旅费、国外城市间交通费、住宿费、伙食费、培训费、公杂费等支出；公务用车购置反映公务用车购置支出（</w:t>
      </w:r>
      <w:proofErr w:type="gramStart"/>
      <w:r>
        <w:rPr>
          <w:rFonts w:ascii="仿宋_GB2312" w:eastAsia="仿宋_GB2312"/>
          <w:sz w:val="32"/>
          <w:szCs w:val="32"/>
          <w:lang w:eastAsia="zh-CN"/>
        </w:rPr>
        <w:t>含车辆</w:t>
      </w:r>
      <w:proofErr w:type="gramEnd"/>
      <w:r>
        <w:rPr>
          <w:rFonts w:ascii="仿宋_GB2312" w:eastAsia="仿宋_GB2312"/>
          <w:sz w:val="32"/>
          <w:szCs w:val="32"/>
          <w:lang w:eastAsia="zh-CN"/>
        </w:rPr>
        <w:t>购置税、牌照费）；公务用车运行维护费反映单位按规定保留的公务用车燃料费、维修费、过路过桥费、保险费、安全奖励费用等支出；公务接待</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单位按规定开支的各类公务接待（含外宾接待）费用。</w:t>
      </w:r>
    </w:p>
    <w:p w14:paraId="4EC27D6D" w14:textId="77777777" w:rsidR="00444275"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1652A4F4" w14:textId="77777777" w:rsidR="00444275" w:rsidRDefault="00000000">
      <w:pPr>
        <w:rPr>
          <w:rFonts w:hint="eastAsia"/>
          <w:lang w:eastAsia="zh-CN"/>
        </w:rPr>
      </w:pPr>
      <w:r>
        <w:rPr>
          <w:sz w:val="0"/>
          <w:szCs w:val="0"/>
          <w:lang w:eastAsia="zh-CN"/>
        </w:rPr>
        <w:br w:type="page"/>
      </w:r>
    </w:p>
    <w:p w14:paraId="7B8EDCC2" w14:textId="77777777" w:rsidR="00444275"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第四部分 部门决算报表（见附表）</w:t>
      </w:r>
    </w:p>
    <w:p w14:paraId="32B8008E" w14:textId="77777777" w:rsidR="00444275"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57FA07A6" w14:textId="77777777" w:rsidR="00444275"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二、《收入决算表》</w:t>
      </w:r>
    </w:p>
    <w:p w14:paraId="2E0450C2" w14:textId="77777777" w:rsidR="00444275"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三、《支出决算表》</w:t>
      </w:r>
    </w:p>
    <w:p w14:paraId="769AFA11" w14:textId="77777777" w:rsidR="00444275"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327844FB" w14:textId="77777777" w:rsidR="00444275"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4AFB0CC0" w14:textId="77777777" w:rsidR="00444275"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1C250B1A" w14:textId="77777777" w:rsidR="00444275"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七、《政府性基金预算财政拨款收入支出决算表》</w:t>
      </w:r>
    </w:p>
    <w:p w14:paraId="5427A6C2" w14:textId="77777777" w:rsidR="00444275"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103530CE" w14:textId="77777777" w:rsidR="00444275"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444275">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2C2D78" w14:textId="77777777" w:rsidR="00D90D82" w:rsidRDefault="00D90D82">
      <w:pPr>
        <w:spacing w:line="240" w:lineRule="auto"/>
        <w:rPr>
          <w:rFonts w:hint="eastAsia"/>
        </w:rPr>
      </w:pPr>
      <w:r>
        <w:separator/>
      </w:r>
    </w:p>
  </w:endnote>
  <w:endnote w:type="continuationSeparator" w:id="0">
    <w:p w14:paraId="055B388A" w14:textId="77777777" w:rsidR="00D90D82" w:rsidRDefault="00D90D82">
      <w:pPr>
        <w:spacing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951A84" w14:textId="77777777" w:rsidR="00D90D82" w:rsidRDefault="00D90D82">
      <w:pPr>
        <w:spacing w:after="0"/>
        <w:rPr>
          <w:rFonts w:hint="eastAsia"/>
        </w:rPr>
      </w:pPr>
      <w:r>
        <w:separator/>
      </w:r>
    </w:p>
  </w:footnote>
  <w:footnote w:type="continuationSeparator" w:id="0">
    <w:p w14:paraId="0BAD47C9" w14:textId="77777777" w:rsidR="00D90D82" w:rsidRDefault="00D90D82">
      <w:pPr>
        <w:spacing w:after="0"/>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000F68"/>
    <w:rsid w:val="00000F68"/>
    <w:rsid w:val="00444275"/>
    <w:rsid w:val="004F31F4"/>
    <w:rsid w:val="006C5925"/>
    <w:rsid w:val="0088772F"/>
    <w:rsid w:val="00990A86"/>
    <w:rsid w:val="00AB686B"/>
    <w:rsid w:val="00CB4606"/>
    <w:rsid w:val="00D90D82"/>
    <w:rsid w:val="00FF396A"/>
    <w:rsid w:val="38BA11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F6AE1B"/>
  <w15:docId w15:val="{15EB2BCA-A14B-44F9-9E97-C457C4D42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qFormat="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qFormat/>
    <w:pPr>
      <w:ind w:left="720"/>
    </w:pPr>
  </w:style>
  <w:style w:type="paragraph" w:styleId="a4">
    <w:name w:val="caption"/>
    <w:basedOn w:val="a"/>
    <w:next w:val="a"/>
    <w:uiPriority w:val="35"/>
    <w:semiHidden/>
    <w:unhideWhenUsed/>
    <w:qFormat/>
    <w:pPr>
      <w:spacing w:line="240" w:lineRule="auto"/>
    </w:pPr>
    <w:rPr>
      <w:b/>
      <w:bCs/>
      <w:color w:val="4472C4" w:themeColor="accent1"/>
      <w:sz w:val="18"/>
      <w:szCs w:val="18"/>
    </w:rPr>
  </w:style>
  <w:style w:type="paragraph" w:styleId="a5">
    <w:name w:val="footer"/>
    <w:basedOn w:val="a"/>
    <w:link w:val="a6"/>
    <w:uiPriority w:val="99"/>
    <w:unhideWhenUsed/>
    <w:pPr>
      <w:tabs>
        <w:tab w:val="center" w:pos="4153"/>
        <w:tab w:val="right" w:pos="8306"/>
      </w:tabs>
      <w:snapToGrid w:val="0"/>
      <w:spacing w:line="240" w:lineRule="auto"/>
    </w:pPr>
    <w:rPr>
      <w:sz w:val="18"/>
      <w:szCs w:val="18"/>
    </w:rPr>
  </w:style>
  <w:style w:type="paragraph" w:styleId="a7">
    <w:name w:val="header"/>
    <w:basedOn w:val="a"/>
    <w:link w:val="a8"/>
    <w:uiPriority w:val="99"/>
    <w:unhideWhenUsed/>
    <w:qFormat/>
    <w:pPr>
      <w:tabs>
        <w:tab w:val="center" w:pos="4680"/>
        <w:tab w:val="right" w:pos="9360"/>
      </w:tabs>
    </w:pPr>
  </w:style>
  <w:style w:type="paragraph" w:styleId="a9">
    <w:name w:val="Subtitle"/>
    <w:basedOn w:val="a"/>
    <w:next w:val="a"/>
    <w:link w:val="aa"/>
    <w:uiPriority w:val="11"/>
    <w:qFormat/>
    <w:pPr>
      <w:ind w:left="86"/>
    </w:pPr>
    <w:rPr>
      <w:rFonts w:asciiTheme="majorHAnsi" w:eastAsiaTheme="majorEastAsia" w:hAnsiTheme="majorHAnsi" w:cstheme="majorBidi"/>
      <w:i/>
      <w:iCs/>
      <w:color w:val="4472C4" w:themeColor="accent1"/>
      <w:spacing w:val="15"/>
      <w:sz w:val="24"/>
      <w:szCs w:val="24"/>
    </w:rPr>
  </w:style>
  <w:style w:type="paragraph" w:styleId="ab">
    <w:name w:val="Title"/>
    <w:basedOn w:val="a"/>
    <w:next w:val="a"/>
    <w:link w:val="ac"/>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table" w:styleId="ad">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e">
    <w:name w:val="Emphasis"/>
    <w:basedOn w:val="a0"/>
    <w:uiPriority w:val="20"/>
    <w:qFormat/>
    <w:rPr>
      <w:i/>
      <w:iCs/>
    </w:rPr>
  </w:style>
  <w:style w:type="character" w:styleId="af">
    <w:name w:val="Hyperlink"/>
    <w:basedOn w:val="a0"/>
    <w:uiPriority w:val="99"/>
    <w:unhideWhenUsed/>
    <w:rPr>
      <w:color w:val="0563C1" w:themeColor="hyperlink"/>
      <w:u w:val="single"/>
    </w:rPr>
  </w:style>
  <w:style w:type="character" w:customStyle="1" w:styleId="a8">
    <w:name w:val="页眉 字符"/>
    <w:basedOn w:val="a0"/>
    <w:link w:val="a7"/>
    <w:uiPriority w:val="99"/>
    <w:qFormat/>
  </w:style>
  <w:style w:type="character" w:customStyle="1" w:styleId="10">
    <w:name w:val="标题 1 字符"/>
    <w:basedOn w:val="a0"/>
    <w:link w:val="1"/>
    <w:uiPriority w:val="9"/>
    <w:rPr>
      <w:rFonts w:asciiTheme="majorHAnsi" w:eastAsiaTheme="majorEastAsia" w:hAnsiTheme="majorHAnsi" w:cstheme="majorBidi"/>
      <w:b/>
      <w:bCs/>
      <w:color w:val="2F5496" w:themeColor="accent1" w:themeShade="BF"/>
      <w:sz w:val="28"/>
      <w:szCs w:val="28"/>
    </w:rPr>
  </w:style>
  <w:style w:type="character" w:customStyle="1" w:styleId="20">
    <w:name w:val="标题 2 字符"/>
    <w:basedOn w:val="a0"/>
    <w:link w:val="2"/>
    <w:uiPriority w:val="9"/>
    <w:rPr>
      <w:rFonts w:asciiTheme="majorHAnsi" w:eastAsiaTheme="majorEastAsia" w:hAnsiTheme="majorHAnsi" w:cstheme="majorBidi"/>
      <w:b/>
      <w:bCs/>
      <w:color w:val="4472C4" w:themeColor="accent1"/>
      <w:sz w:val="26"/>
      <w:szCs w:val="26"/>
    </w:rPr>
  </w:style>
  <w:style w:type="character" w:customStyle="1" w:styleId="30">
    <w:name w:val="标题 3 字符"/>
    <w:basedOn w:val="a0"/>
    <w:link w:val="3"/>
    <w:uiPriority w:val="9"/>
    <w:rPr>
      <w:rFonts w:asciiTheme="majorHAnsi" w:eastAsiaTheme="majorEastAsia" w:hAnsiTheme="majorHAnsi" w:cstheme="majorBidi"/>
      <w:b/>
      <w:bCs/>
      <w:color w:val="4472C4" w:themeColor="accent1"/>
    </w:rPr>
  </w:style>
  <w:style w:type="character" w:customStyle="1" w:styleId="40">
    <w:name w:val="标题 4 字符"/>
    <w:basedOn w:val="a0"/>
    <w:link w:val="4"/>
    <w:uiPriority w:val="9"/>
    <w:rPr>
      <w:rFonts w:asciiTheme="majorHAnsi" w:eastAsiaTheme="majorEastAsia" w:hAnsiTheme="majorHAnsi" w:cstheme="majorBidi"/>
      <w:b/>
      <w:bCs/>
      <w:i/>
      <w:iCs/>
      <w:color w:val="4472C4" w:themeColor="accent1"/>
    </w:rPr>
  </w:style>
  <w:style w:type="character" w:customStyle="1" w:styleId="aa">
    <w:name w:val="副标题 字符"/>
    <w:basedOn w:val="a0"/>
    <w:link w:val="a9"/>
    <w:uiPriority w:val="11"/>
    <w:qFormat/>
    <w:rPr>
      <w:rFonts w:asciiTheme="majorHAnsi" w:eastAsiaTheme="majorEastAsia" w:hAnsiTheme="majorHAnsi" w:cstheme="majorBidi"/>
      <w:i/>
      <w:iCs/>
      <w:color w:val="4472C4" w:themeColor="accent1"/>
      <w:spacing w:val="15"/>
      <w:sz w:val="24"/>
      <w:szCs w:val="24"/>
    </w:rPr>
  </w:style>
  <w:style w:type="character" w:customStyle="1" w:styleId="ac">
    <w:name w:val="标题 字符"/>
    <w:basedOn w:val="a0"/>
    <w:link w:val="ab"/>
    <w:uiPriority w:val="10"/>
    <w:rPr>
      <w:rFonts w:asciiTheme="majorHAnsi" w:eastAsiaTheme="majorEastAsia" w:hAnsiTheme="majorHAnsi" w:cstheme="majorBidi"/>
      <w:color w:val="323E4F" w:themeColor="text2" w:themeShade="BF"/>
      <w:spacing w:val="5"/>
      <w:kern w:val="28"/>
      <w:sz w:val="52"/>
      <w:szCs w:val="52"/>
    </w:rPr>
  </w:style>
  <w:style w:type="character" w:customStyle="1" w:styleId="a6">
    <w:name w:val="页脚 字符"/>
    <w:basedOn w:val="a0"/>
    <w:link w:val="a5"/>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14</Pages>
  <Words>3377</Words>
  <Characters>3750</Characters>
  <Application>Microsoft Office Word</Application>
  <DocSecurity>0</DocSecurity>
  <Lines>535</Lines>
  <Paragraphs>339</Paragraphs>
  <ScaleCrop>false</ScaleCrop>
  <Company/>
  <LinksUpToDate>false</LinksUpToDate>
  <CharactersWithSpaces>6788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华为</dc:creator>
  <cp:lastModifiedBy>慧 吉</cp:lastModifiedBy>
  <cp:revision>4</cp:revision>
  <dcterms:created xsi:type="dcterms:W3CDTF">2025-09-25T08:27:00Z</dcterms:created>
  <dcterms:modified xsi:type="dcterms:W3CDTF">2025-11-18T03:19:00Z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eyJoZGlkIjoiYWZhNmNkZGMwMmRmY2FjMGFhZmQ4ZTZmODZiNzQyZDciLCJ1c2VySWQiOiI0NzAwMzQxNzAifQ==</vt:lpwstr>
  </property>
  <property fmtid="{D5CDD505-2E9C-101B-9397-08002B2CF9AE}" pid="3" name="KSOProductBuildVer">
    <vt:lpwstr>2052-12.1.0.22529</vt:lpwstr>
  </property>
  <property fmtid="{D5CDD505-2E9C-101B-9397-08002B2CF9AE}" pid="4" name="ICV">
    <vt:lpwstr>A6440DD4B7064EC8BD1F7D34D90CB82A_12</vt:lpwstr>
  </property>
</Properties>
</file>